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EDED" w:themeColor="accent3" w:themeTint="33"/>
  <w:body>
    <w:p w14:paraId="2658F04D" w14:textId="53B9CFAF" w:rsidR="00657108" w:rsidRPr="008A4478" w:rsidRDefault="003E7282" w:rsidP="008A4478">
      <w:pPr>
        <w:pStyle w:val="Heading1"/>
      </w:pPr>
      <w:r>
        <w:t>The craft of making and conserving replicas</w:t>
      </w:r>
    </w:p>
    <w:p w14:paraId="0A5E26B4" w14:textId="77777777" w:rsidR="00CB45A3" w:rsidRPr="004744F8" w:rsidRDefault="00CB45A3" w:rsidP="004744F8">
      <w:pPr>
        <w:pStyle w:val="NoSpacing"/>
        <w:ind w:left="720" w:hanging="720"/>
        <w:rPr>
          <w:szCs w:val="24"/>
        </w:rPr>
      </w:pPr>
    </w:p>
    <w:p w14:paraId="51353B13" w14:textId="77777777" w:rsidR="002048B7" w:rsidRDefault="002048B7" w:rsidP="002048B7">
      <w:pPr>
        <w:pStyle w:val="NormalWeb"/>
        <w:rPr>
          <w:rFonts w:ascii="Verdana" w:hAnsi="Verdana"/>
          <w:sz w:val="18"/>
          <w:szCs w:val="18"/>
        </w:rPr>
      </w:pPr>
      <w:r>
        <w:rPr>
          <w:rFonts w:ascii="Verdana" w:hAnsi="Verdana"/>
          <w:sz w:val="18"/>
          <w:szCs w:val="18"/>
        </w:rPr>
        <w:t xml:space="preserve">ADAMS, A., 2022. </w:t>
      </w:r>
      <w:r>
        <w:rPr>
          <w:rFonts w:ascii="Verdana" w:hAnsi="Verdana"/>
          <w:i/>
          <w:iCs/>
          <w:sz w:val="18"/>
          <w:szCs w:val="18"/>
        </w:rPr>
        <w:t xml:space="preserve">Replication &amp; authenticity in Heritage:  comparing policy to practice. </w:t>
      </w:r>
      <w:r>
        <w:rPr>
          <w:rFonts w:ascii="Verdana" w:hAnsi="Verdana"/>
          <w:sz w:val="18"/>
          <w:szCs w:val="18"/>
        </w:rPr>
        <w:t xml:space="preserve">MSc Heritage thesis edn. University of Stirling. </w:t>
      </w:r>
    </w:p>
    <w:p w14:paraId="02282079" w14:textId="77777777" w:rsidR="002048B7" w:rsidRDefault="002048B7" w:rsidP="002048B7">
      <w:pPr>
        <w:pStyle w:val="NormalWeb"/>
        <w:rPr>
          <w:rFonts w:ascii="Verdana" w:hAnsi="Verdana"/>
          <w:sz w:val="18"/>
          <w:szCs w:val="18"/>
        </w:rPr>
      </w:pPr>
      <w:r>
        <w:rPr>
          <w:rFonts w:ascii="Verdana" w:hAnsi="Verdana"/>
          <w:sz w:val="18"/>
          <w:szCs w:val="18"/>
        </w:rPr>
        <w:t xml:space="preserve">ADAMS, A., 2021. </w:t>
      </w:r>
      <w:r>
        <w:rPr>
          <w:rFonts w:ascii="Verdana" w:hAnsi="Verdana"/>
          <w:i/>
          <w:iCs/>
          <w:sz w:val="18"/>
          <w:szCs w:val="18"/>
        </w:rPr>
        <w:t xml:space="preserve">Replicas and the future of the heritage industry: towards a composite biography of the Lewis Chessmen. </w:t>
      </w:r>
      <w:r>
        <w:rPr>
          <w:rFonts w:ascii="Verdana" w:hAnsi="Verdana"/>
          <w:sz w:val="18"/>
          <w:szCs w:val="18"/>
        </w:rPr>
        <w:t xml:space="preserve">MA edn. University of Stirling. </w:t>
      </w:r>
    </w:p>
    <w:p w14:paraId="587269E5" w14:textId="77777777" w:rsidR="002048B7" w:rsidRDefault="002048B7" w:rsidP="002048B7">
      <w:pPr>
        <w:pStyle w:val="NormalWeb"/>
        <w:rPr>
          <w:rFonts w:ascii="Verdana" w:hAnsi="Verdana"/>
          <w:sz w:val="18"/>
          <w:szCs w:val="18"/>
        </w:rPr>
      </w:pPr>
      <w:r>
        <w:rPr>
          <w:rFonts w:ascii="Verdana" w:hAnsi="Verdana"/>
          <w:sz w:val="18"/>
          <w:szCs w:val="18"/>
        </w:rPr>
        <w:t xml:space="preserve">ATTERBURY, P., ed, 1989. </w:t>
      </w:r>
      <w:r>
        <w:rPr>
          <w:rFonts w:ascii="Verdana" w:hAnsi="Verdana"/>
          <w:i/>
          <w:iCs/>
          <w:sz w:val="18"/>
          <w:szCs w:val="18"/>
        </w:rPr>
        <w:t xml:space="preserve">The Parian Phenomenon: A Survey of Victorian Parian Porcelain Statuary &amp; Busts. </w:t>
      </w:r>
      <w:r>
        <w:rPr>
          <w:rFonts w:ascii="Verdana" w:hAnsi="Verdana"/>
          <w:sz w:val="18"/>
          <w:szCs w:val="18"/>
        </w:rPr>
        <w:t xml:space="preserve">Shepton Beauchamp: Richard Dennis. </w:t>
      </w:r>
    </w:p>
    <w:p w14:paraId="385548EA" w14:textId="77777777" w:rsidR="002048B7" w:rsidRDefault="002048B7" w:rsidP="002048B7">
      <w:pPr>
        <w:pStyle w:val="NormalWeb"/>
        <w:rPr>
          <w:rFonts w:ascii="Verdana" w:hAnsi="Verdana"/>
          <w:sz w:val="18"/>
          <w:szCs w:val="18"/>
        </w:rPr>
      </w:pPr>
      <w:r>
        <w:rPr>
          <w:rFonts w:ascii="Verdana" w:hAnsi="Verdana"/>
          <w:sz w:val="18"/>
          <w:szCs w:val="18"/>
        </w:rPr>
        <w:t xml:space="preserve">AYRES, J., 1985. </w:t>
      </w:r>
      <w:r>
        <w:rPr>
          <w:rFonts w:ascii="Verdana" w:hAnsi="Verdana"/>
          <w:i/>
          <w:iCs/>
          <w:sz w:val="18"/>
          <w:szCs w:val="18"/>
        </w:rPr>
        <w:t xml:space="preserve">The Artist’s Craft: A History of Tools, Techniques and Materials. </w:t>
      </w:r>
      <w:r>
        <w:rPr>
          <w:rFonts w:ascii="Verdana" w:hAnsi="Verdana"/>
          <w:sz w:val="18"/>
          <w:szCs w:val="18"/>
        </w:rPr>
        <w:t xml:space="preserve">London: </w:t>
      </w:r>
      <w:proofErr w:type="spellStart"/>
      <w:r>
        <w:rPr>
          <w:rFonts w:ascii="Verdana" w:hAnsi="Verdana"/>
          <w:sz w:val="18"/>
          <w:szCs w:val="18"/>
        </w:rPr>
        <w:t>Phaidon</w:t>
      </w:r>
      <w:proofErr w:type="spellEnd"/>
      <w:r>
        <w:rPr>
          <w:rFonts w:ascii="Verdana" w:hAnsi="Verdana"/>
          <w:sz w:val="18"/>
          <w:szCs w:val="18"/>
        </w:rPr>
        <w:t xml:space="preserve">. </w:t>
      </w:r>
    </w:p>
    <w:p w14:paraId="3ADB17DE" w14:textId="77777777" w:rsidR="002048B7" w:rsidRDefault="002048B7" w:rsidP="002048B7">
      <w:pPr>
        <w:pStyle w:val="NormalWeb"/>
        <w:rPr>
          <w:rFonts w:ascii="Verdana" w:hAnsi="Verdana"/>
          <w:sz w:val="18"/>
          <w:szCs w:val="18"/>
        </w:rPr>
      </w:pPr>
      <w:r>
        <w:rPr>
          <w:rFonts w:ascii="Verdana" w:hAnsi="Verdana"/>
          <w:sz w:val="18"/>
          <w:szCs w:val="18"/>
        </w:rPr>
        <w:t xml:space="preserve">BRYCE, T., CALDWELL, D., SKINNER, T. and WELANDER, R., 1981. Replica making—effigies from Houston and a tomb front from Renfrew. </w:t>
      </w:r>
      <w:r>
        <w:rPr>
          <w:rFonts w:ascii="Verdana" w:hAnsi="Verdana"/>
          <w:i/>
          <w:iCs/>
          <w:sz w:val="18"/>
          <w:szCs w:val="18"/>
        </w:rPr>
        <w:t xml:space="preserve">SSCR Newsletter, </w:t>
      </w:r>
      <w:r>
        <w:rPr>
          <w:rFonts w:ascii="Verdana" w:hAnsi="Verdana"/>
          <w:b/>
          <w:bCs/>
          <w:sz w:val="18"/>
          <w:szCs w:val="18"/>
        </w:rPr>
        <w:t>32</w:t>
      </w:r>
      <w:r>
        <w:rPr>
          <w:rFonts w:ascii="Verdana" w:hAnsi="Verdana"/>
          <w:sz w:val="18"/>
          <w:szCs w:val="18"/>
        </w:rPr>
        <w:t xml:space="preserve">(March), pp. xx-xx. </w:t>
      </w:r>
    </w:p>
    <w:p w14:paraId="022F77D8" w14:textId="77777777" w:rsidR="002048B7" w:rsidRDefault="002048B7" w:rsidP="002048B7">
      <w:pPr>
        <w:pStyle w:val="NormalWeb"/>
        <w:rPr>
          <w:rFonts w:ascii="Verdana" w:hAnsi="Verdana"/>
          <w:sz w:val="18"/>
          <w:szCs w:val="18"/>
        </w:rPr>
      </w:pPr>
      <w:r>
        <w:rPr>
          <w:rFonts w:ascii="Verdana" w:hAnsi="Verdana"/>
          <w:sz w:val="18"/>
          <w:szCs w:val="18"/>
        </w:rPr>
        <w:t xml:space="preserve">BRYCE, T. and CALDWELL, D.H., 1981. Scottish medieval sculpture—the making of reproductions and their uses. </w:t>
      </w:r>
      <w:r>
        <w:rPr>
          <w:rFonts w:ascii="Verdana" w:hAnsi="Verdana"/>
          <w:i/>
          <w:iCs/>
          <w:sz w:val="18"/>
          <w:szCs w:val="18"/>
        </w:rPr>
        <w:t xml:space="preserve">Museums Journal, </w:t>
      </w:r>
      <w:r>
        <w:rPr>
          <w:rFonts w:ascii="Verdana" w:hAnsi="Verdana"/>
          <w:b/>
          <w:bCs/>
          <w:sz w:val="18"/>
          <w:szCs w:val="18"/>
        </w:rPr>
        <w:t>81</w:t>
      </w:r>
      <w:r>
        <w:rPr>
          <w:rFonts w:ascii="Verdana" w:hAnsi="Verdana"/>
          <w:sz w:val="18"/>
          <w:szCs w:val="18"/>
        </w:rPr>
        <w:t xml:space="preserve">(2), pp. 67-70. </w:t>
      </w:r>
    </w:p>
    <w:p w14:paraId="721544ED" w14:textId="77777777" w:rsidR="002048B7" w:rsidRDefault="002048B7" w:rsidP="002048B7">
      <w:pPr>
        <w:pStyle w:val="NormalWeb"/>
        <w:rPr>
          <w:rFonts w:ascii="Verdana" w:hAnsi="Verdana"/>
          <w:sz w:val="18"/>
          <w:szCs w:val="18"/>
        </w:rPr>
      </w:pPr>
      <w:r>
        <w:rPr>
          <w:rFonts w:ascii="Verdana" w:hAnsi="Verdana"/>
          <w:sz w:val="18"/>
          <w:szCs w:val="18"/>
        </w:rPr>
        <w:t xml:space="preserve">BRYCE, T., QUINN, A., HOGG, D. and SKINNER, T., 1991. Moulding and casting of large scale stone monuments. </w:t>
      </w:r>
      <w:r>
        <w:rPr>
          <w:rFonts w:ascii="Verdana" w:hAnsi="Verdana"/>
          <w:i/>
          <w:iCs/>
          <w:sz w:val="18"/>
          <w:szCs w:val="18"/>
        </w:rPr>
        <w:t xml:space="preserve">The Conservator, </w:t>
      </w:r>
      <w:r>
        <w:rPr>
          <w:rFonts w:ascii="Verdana" w:hAnsi="Verdana"/>
          <w:b/>
          <w:bCs/>
          <w:sz w:val="18"/>
          <w:szCs w:val="18"/>
        </w:rPr>
        <w:t>15</w:t>
      </w:r>
      <w:r>
        <w:rPr>
          <w:rFonts w:ascii="Verdana" w:hAnsi="Verdana"/>
          <w:sz w:val="18"/>
          <w:szCs w:val="18"/>
        </w:rPr>
        <w:t xml:space="preserve">, pp. 57-64. </w:t>
      </w:r>
    </w:p>
    <w:p w14:paraId="35021F6D" w14:textId="77777777" w:rsidR="002048B7" w:rsidRDefault="002048B7" w:rsidP="002048B7">
      <w:pPr>
        <w:pStyle w:val="NormalWeb"/>
        <w:rPr>
          <w:rFonts w:ascii="Verdana" w:hAnsi="Verdana"/>
          <w:sz w:val="18"/>
          <w:szCs w:val="18"/>
        </w:rPr>
      </w:pPr>
      <w:r>
        <w:rPr>
          <w:rFonts w:ascii="Verdana" w:hAnsi="Verdana"/>
          <w:sz w:val="18"/>
          <w:szCs w:val="18"/>
        </w:rPr>
        <w:t xml:space="preserve">CLIFFORD, T., 1992. The plaster shops of the </w:t>
      </w:r>
      <w:proofErr w:type="spellStart"/>
      <w:r>
        <w:rPr>
          <w:rFonts w:ascii="Verdana" w:hAnsi="Verdana"/>
          <w:sz w:val="18"/>
          <w:szCs w:val="18"/>
        </w:rPr>
        <w:t>Rococco</w:t>
      </w:r>
      <w:proofErr w:type="spellEnd"/>
      <w:r>
        <w:rPr>
          <w:rFonts w:ascii="Verdana" w:hAnsi="Verdana"/>
          <w:sz w:val="18"/>
          <w:szCs w:val="18"/>
        </w:rPr>
        <w:t xml:space="preserve"> and Neo-Classical era in Britain. </w:t>
      </w:r>
      <w:r>
        <w:rPr>
          <w:rFonts w:ascii="Verdana" w:hAnsi="Verdana"/>
          <w:i/>
          <w:iCs/>
          <w:sz w:val="18"/>
          <w:szCs w:val="18"/>
        </w:rPr>
        <w:t xml:space="preserve">Journal of the History of Collections, </w:t>
      </w:r>
      <w:r>
        <w:rPr>
          <w:rFonts w:ascii="Verdana" w:hAnsi="Verdana"/>
          <w:b/>
          <w:bCs/>
          <w:sz w:val="18"/>
          <w:szCs w:val="18"/>
        </w:rPr>
        <w:t>4</w:t>
      </w:r>
      <w:r>
        <w:rPr>
          <w:rFonts w:ascii="Verdana" w:hAnsi="Verdana"/>
          <w:sz w:val="18"/>
          <w:szCs w:val="18"/>
        </w:rPr>
        <w:t xml:space="preserve">(1), pp. 39-65. </w:t>
      </w:r>
    </w:p>
    <w:p w14:paraId="2D7C7596" w14:textId="77777777" w:rsidR="002048B7" w:rsidRDefault="002048B7" w:rsidP="002048B7">
      <w:pPr>
        <w:pStyle w:val="NormalWeb"/>
        <w:rPr>
          <w:rFonts w:ascii="Verdana" w:hAnsi="Verdana"/>
          <w:sz w:val="18"/>
          <w:szCs w:val="18"/>
        </w:rPr>
      </w:pPr>
      <w:r>
        <w:rPr>
          <w:rFonts w:ascii="Verdana" w:hAnsi="Verdana"/>
          <w:sz w:val="18"/>
          <w:szCs w:val="18"/>
        </w:rPr>
        <w:t xml:space="preserve">COLTMAN, V., 2006. </w:t>
      </w:r>
      <w:r>
        <w:rPr>
          <w:rFonts w:ascii="Verdana" w:hAnsi="Verdana"/>
          <w:i/>
          <w:iCs/>
          <w:sz w:val="18"/>
          <w:szCs w:val="18"/>
        </w:rPr>
        <w:t xml:space="preserve">Fabricating the Antique: Neoclassicism in Britain, 1760-1800. </w:t>
      </w:r>
      <w:r>
        <w:rPr>
          <w:rFonts w:ascii="Verdana" w:hAnsi="Verdana"/>
          <w:sz w:val="18"/>
          <w:szCs w:val="18"/>
        </w:rPr>
        <w:t xml:space="preserve">Chicago and London: University of Chicago Press. </w:t>
      </w:r>
    </w:p>
    <w:p w14:paraId="1AB7BEEE" w14:textId="77777777" w:rsidR="002048B7" w:rsidRDefault="002048B7" w:rsidP="002048B7">
      <w:pPr>
        <w:pStyle w:val="NormalWeb"/>
        <w:rPr>
          <w:rFonts w:ascii="Verdana" w:hAnsi="Verdana"/>
          <w:sz w:val="18"/>
          <w:szCs w:val="18"/>
        </w:rPr>
      </w:pPr>
      <w:r>
        <w:rPr>
          <w:rFonts w:ascii="Verdana" w:hAnsi="Verdana"/>
          <w:sz w:val="18"/>
          <w:szCs w:val="18"/>
        </w:rPr>
        <w:t xml:space="preserve">EDWARDS, M., 1891. </w:t>
      </w:r>
      <w:r>
        <w:rPr>
          <w:rFonts w:ascii="Verdana" w:hAnsi="Verdana"/>
          <w:i/>
          <w:iCs/>
          <w:sz w:val="18"/>
          <w:szCs w:val="18"/>
        </w:rPr>
        <w:t xml:space="preserve">A Guide to Modelling in Clay and Wax for Terra Cotta, Bronze and Silver Chasing and Embossing, Carving in Marble and Alabaster, Moulding and Casting in Plaster of Paris or Sculptural Art made easy for Beginners. </w:t>
      </w:r>
      <w:r>
        <w:rPr>
          <w:rFonts w:ascii="Verdana" w:hAnsi="Verdana"/>
          <w:sz w:val="18"/>
          <w:szCs w:val="18"/>
        </w:rPr>
        <w:t xml:space="preserve">London: </w:t>
      </w:r>
      <w:proofErr w:type="spellStart"/>
      <w:r>
        <w:rPr>
          <w:rFonts w:ascii="Verdana" w:hAnsi="Verdana"/>
          <w:sz w:val="18"/>
          <w:szCs w:val="18"/>
        </w:rPr>
        <w:t>Lechertier</w:t>
      </w:r>
      <w:proofErr w:type="spellEnd"/>
      <w:r>
        <w:rPr>
          <w:rFonts w:ascii="Verdana" w:hAnsi="Verdana"/>
          <w:sz w:val="18"/>
          <w:szCs w:val="18"/>
        </w:rPr>
        <w:t xml:space="preserve">, Barbe &amp; Co. </w:t>
      </w:r>
    </w:p>
    <w:p w14:paraId="16247639" w14:textId="77777777" w:rsidR="002048B7" w:rsidRDefault="002048B7" w:rsidP="002048B7">
      <w:pPr>
        <w:pStyle w:val="NormalWeb"/>
        <w:rPr>
          <w:rFonts w:ascii="Verdana" w:hAnsi="Verdana"/>
          <w:sz w:val="18"/>
          <w:szCs w:val="18"/>
        </w:rPr>
      </w:pPr>
      <w:r>
        <w:rPr>
          <w:rFonts w:ascii="Verdana" w:hAnsi="Verdana"/>
          <w:sz w:val="18"/>
          <w:szCs w:val="18"/>
        </w:rPr>
        <w:t xml:space="preserve">FOSTER, S.M., 2016. Expiscation! Disentangling the later biography of the St Andrews Sarcophagus. In: F. HUNTER and A. SHERIDAN, eds, </w:t>
      </w:r>
      <w:r>
        <w:rPr>
          <w:rFonts w:ascii="Verdana" w:hAnsi="Verdana"/>
          <w:i/>
          <w:iCs/>
          <w:sz w:val="18"/>
          <w:szCs w:val="18"/>
        </w:rPr>
        <w:t xml:space="preserve">Ancient Lives. Object, People and Place in Early Scotland. Essays for David V Clarke on his 70th Birthday. </w:t>
      </w:r>
      <w:r>
        <w:rPr>
          <w:rFonts w:ascii="Verdana" w:hAnsi="Verdana"/>
          <w:sz w:val="18"/>
          <w:szCs w:val="18"/>
        </w:rPr>
        <w:t xml:space="preserve">Leiden: Sidestone Press, pp. 165-186. </w:t>
      </w:r>
    </w:p>
    <w:p w14:paraId="0FD8204F" w14:textId="77777777" w:rsidR="002048B7" w:rsidRDefault="002048B7" w:rsidP="002048B7">
      <w:pPr>
        <w:pStyle w:val="NormalWeb"/>
        <w:rPr>
          <w:rFonts w:ascii="Verdana" w:hAnsi="Verdana"/>
          <w:sz w:val="18"/>
          <w:szCs w:val="18"/>
        </w:rPr>
      </w:pPr>
      <w:r>
        <w:rPr>
          <w:rFonts w:ascii="Verdana" w:hAnsi="Verdana"/>
          <w:sz w:val="18"/>
          <w:szCs w:val="18"/>
        </w:rPr>
        <w:t xml:space="preserve">FOSTER, S.M. and JONES, S.J., 2020. </w:t>
      </w:r>
      <w:r>
        <w:rPr>
          <w:rFonts w:ascii="Verdana" w:hAnsi="Verdana"/>
          <w:i/>
          <w:iCs/>
          <w:sz w:val="18"/>
          <w:szCs w:val="18"/>
        </w:rPr>
        <w:t xml:space="preserve">My Life as a Replica: St John's Cross, Iona. </w:t>
      </w:r>
      <w:r>
        <w:rPr>
          <w:rFonts w:ascii="Verdana" w:hAnsi="Verdana"/>
          <w:sz w:val="18"/>
          <w:szCs w:val="18"/>
        </w:rPr>
        <w:t xml:space="preserve">Oxford: Windgather. </w:t>
      </w:r>
    </w:p>
    <w:p w14:paraId="715C21A1" w14:textId="77777777" w:rsidR="002048B7" w:rsidRDefault="002048B7" w:rsidP="002048B7">
      <w:pPr>
        <w:pStyle w:val="NormalWeb"/>
        <w:rPr>
          <w:rFonts w:ascii="Verdana" w:hAnsi="Verdana"/>
          <w:sz w:val="18"/>
          <w:szCs w:val="18"/>
        </w:rPr>
      </w:pPr>
      <w:r>
        <w:rPr>
          <w:rFonts w:ascii="Verdana" w:hAnsi="Verdana"/>
          <w:sz w:val="18"/>
          <w:szCs w:val="18"/>
        </w:rPr>
        <w:t xml:space="preserve">FRY, M.F. and MARTIN, A., 1994. Preserving by copying. </w:t>
      </w:r>
      <w:r>
        <w:rPr>
          <w:rFonts w:ascii="Verdana" w:hAnsi="Verdana"/>
          <w:i/>
          <w:iCs/>
          <w:sz w:val="18"/>
          <w:szCs w:val="18"/>
        </w:rPr>
        <w:t xml:space="preserve">Archaeology Ireland, </w:t>
      </w:r>
      <w:r>
        <w:rPr>
          <w:rFonts w:ascii="Verdana" w:hAnsi="Verdana"/>
          <w:b/>
          <w:bCs/>
          <w:sz w:val="18"/>
          <w:szCs w:val="18"/>
        </w:rPr>
        <w:t>8</w:t>
      </w:r>
      <w:r>
        <w:rPr>
          <w:rFonts w:ascii="Verdana" w:hAnsi="Verdana"/>
          <w:sz w:val="18"/>
          <w:szCs w:val="18"/>
        </w:rPr>
        <w:t xml:space="preserve">(1), pp. 13. </w:t>
      </w:r>
    </w:p>
    <w:p w14:paraId="768320C2" w14:textId="77777777" w:rsidR="002048B7" w:rsidRDefault="002048B7" w:rsidP="002048B7">
      <w:pPr>
        <w:pStyle w:val="NormalWeb"/>
        <w:rPr>
          <w:rFonts w:ascii="Verdana" w:hAnsi="Verdana"/>
          <w:sz w:val="18"/>
          <w:szCs w:val="18"/>
        </w:rPr>
      </w:pPr>
      <w:r>
        <w:rPr>
          <w:rFonts w:ascii="Verdana" w:hAnsi="Verdana"/>
          <w:sz w:val="18"/>
          <w:szCs w:val="18"/>
        </w:rPr>
        <w:t xml:space="preserve">HASLUCK, P., ed, 1915. </w:t>
      </w:r>
      <w:r>
        <w:rPr>
          <w:rFonts w:ascii="Verdana" w:hAnsi="Verdana"/>
          <w:i/>
          <w:iCs/>
          <w:sz w:val="18"/>
          <w:szCs w:val="18"/>
        </w:rPr>
        <w:t xml:space="preserve">Clay Modelling and Plaster Casting. </w:t>
      </w:r>
      <w:r>
        <w:rPr>
          <w:rFonts w:ascii="Verdana" w:hAnsi="Verdana"/>
          <w:sz w:val="18"/>
          <w:szCs w:val="18"/>
        </w:rPr>
        <w:t xml:space="preserve">Philadelphia: David McKay. </w:t>
      </w:r>
    </w:p>
    <w:p w14:paraId="1F8CBBAC" w14:textId="77777777" w:rsidR="002048B7" w:rsidRDefault="002048B7" w:rsidP="002048B7">
      <w:pPr>
        <w:pStyle w:val="NormalWeb"/>
        <w:rPr>
          <w:rFonts w:ascii="Verdana" w:hAnsi="Verdana"/>
          <w:sz w:val="18"/>
          <w:szCs w:val="18"/>
        </w:rPr>
      </w:pPr>
      <w:r>
        <w:rPr>
          <w:rFonts w:ascii="Verdana" w:hAnsi="Verdana"/>
          <w:sz w:val="18"/>
          <w:szCs w:val="18"/>
        </w:rPr>
        <w:t xml:space="preserve">HATII, 2016-last update, Mapping the Practice and Profession of Sculpture in Britain and Ireland 1851–1951. Available: </w:t>
      </w:r>
      <w:hyperlink r:id="rId7" w:tgtFrame="_blank" w:history="1">
        <w:r>
          <w:rPr>
            <w:rStyle w:val="Hyperlink"/>
            <w:rFonts w:ascii="Verdana" w:hAnsi="Verdana"/>
            <w:sz w:val="18"/>
            <w:szCs w:val="18"/>
          </w:rPr>
          <w:t>http://sculpture.gla.ac.uk/</w:t>
        </w:r>
      </w:hyperlink>
      <w:r>
        <w:rPr>
          <w:rFonts w:ascii="Verdana" w:hAnsi="Verdana"/>
          <w:sz w:val="18"/>
          <w:szCs w:val="18"/>
        </w:rPr>
        <w:t xml:space="preserve"> [May/15, 2016]. </w:t>
      </w:r>
    </w:p>
    <w:p w14:paraId="75087F70" w14:textId="77777777" w:rsidR="002048B7" w:rsidRDefault="002048B7" w:rsidP="002048B7">
      <w:pPr>
        <w:pStyle w:val="NormalWeb"/>
        <w:rPr>
          <w:rFonts w:ascii="Verdana" w:hAnsi="Verdana"/>
          <w:sz w:val="18"/>
          <w:szCs w:val="18"/>
        </w:rPr>
      </w:pPr>
      <w:r>
        <w:rPr>
          <w:rFonts w:ascii="Verdana" w:hAnsi="Verdana"/>
          <w:sz w:val="18"/>
          <w:szCs w:val="18"/>
        </w:rPr>
        <w:t xml:space="preserve">KING, M., 2020. Sacred granite. Presenting the Downpatrick high cross. In: G. COONEY, B. GILHOOLEY, N. KELLY and S. MALLÍA-GUEST, eds, </w:t>
      </w:r>
      <w:r>
        <w:rPr>
          <w:rFonts w:ascii="Verdana" w:hAnsi="Verdana"/>
          <w:i/>
          <w:iCs/>
          <w:sz w:val="18"/>
          <w:szCs w:val="18"/>
        </w:rPr>
        <w:t xml:space="preserve">Cultures of Stone. An Alternative Interdisciplinary Approach to the Materiality of Stone. </w:t>
      </w:r>
      <w:r>
        <w:rPr>
          <w:rFonts w:ascii="Verdana" w:hAnsi="Verdana"/>
          <w:sz w:val="18"/>
          <w:szCs w:val="18"/>
        </w:rPr>
        <w:t xml:space="preserve">Leiden: Sidestone Press, pp. 181-196. </w:t>
      </w:r>
    </w:p>
    <w:p w14:paraId="620DD03D" w14:textId="77777777" w:rsidR="002048B7" w:rsidRDefault="002048B7" w:rsidP="002048B7">
      <w:pPr>
        <w:pStyle w:val="NormalWeb"/>
        <w:rPr>
          <w:rFonts w:ascii="Verdana" w:hAnsi="Verdana"/>
          <w:sz w:val="18"/>
          <w:szCs w:val="18"/>
        </w:rPr>
      </w:pPr>
      <w:r>
        <w:rPr>
          <w:rFonts w:ascii="Verdana" w:hAnsi="Verdana"/>
          <w:sz w:val="18"/>
          <w:szCs w:val="18"/>
        </w:rPr>
        <w:t xml:space="preserve">MAXWELL, I., 2005. Scotland's early medieval sculpture in the 21st century: a strategic overview of conservation problems, maintenance and replication methods. In: S.M. FOSTER and M. CROSS, eds, </w:t>
      </w:r>
      <w:r>
        <w:rPr>
          <w:rFonts w:ascii="Verdana" w:hAnsi="Verdana"/>
          <w:i/>
          <w:iCs/>
          <w:sz w:val="18"/>
          <w:szCs w:val="18"/>
        </w:rPr>
        <w:t xml:space="preserve">Able Minds and Practised Hands: Scotland's Early Medieval Sculpture in the 21st Century. </w:t>
      </w:r>
      <w:r>
        <w:rPr>
          <w:rFonts w:ascii="Verdana" w:hAnsi="Verdana"/>
          <w:sz w:val="18"/>
          <w:szCs w:val="18"/>
        </w:rPr>
        <w:t xml:space="preserve">Leeds: Society for Medieval Archaeology/Maney, pp. 159-174. </w:t>
      </w:r>
    </w:p>
    <w:p w14:paraId="46FAAB5F" w14:textId="77777777" w:rsidR="002048B7" w:rsidRDefault="002048B7" w:rsidP="002048B7">
      <w:pPr>
        <w:pStyle w:val="NormalWeb"/>
        <w:rPr>
          <w:rFonts w:ascii="Verdana" w:hAnsi="Verdana"/>
          <w:sz w:val="18"/>
          <w:szCs w:val="18"/>
        </w:rPr>
      </w:pPr>
      <w:r>
        <w:rPr>
          <w:rFonts w:ascii="Verdana" w:hAnsi="Verdana"/>
          <w:sz w:val="18"/>
          <w:szCs w:val="18"/>
        </w:rPr>
        <w:lastRenderedPageBreak/>
        <w:t xml:space="preserve">MORTIMER, P. and POLLINGTON, S., 2013. </w:t>
      </w:r>
      <w:r>
        <w:rPr>
          <w:rFonts w:ascii="Verdana" w:hAnsi="Verdana"/>
          <w:i/>
          <w:iCs/>
          <w:sz w:val="18"/>
          <w:szCs w:val="18"/>
        </w:rPr>
        <w:t xml:space="preserve">Remaking the Sutton </w:t>
      </w:r>
      <w:proofErr w:type="spellStart"/>
      <w:r>
        <w:rPr>
          <w:rFonts w:ascii="Verdana" w:hAnsi="Verdana"/>
          <w:i/>
          <w:iCs/>
          <w:sz w:val="18"/>
          <w:szCs w:val="18"/>
        </w:rPr>
        <w:t>Hoo</w:t>
      </w:r>
      <w:proofErr w:type="spellEnd"/>
      <w:r>
        <w:rPr>
          <w:rFonts w:ascii="Verdana" w:hAnsi="Verdana"/>
          <w:i/>
          <w:iCs/>
          <w:sz w:val="18"/>
          <w:szCs w:val="18"/>
        </w:rPr>
        <w:t xml:space="preserve"> Stone. The Ansell-Roper Replica and its Context. </w:t>
      </w:r>
      <w:r>
        <w:rPr>
          <w:rFonts w:ascii="Verdana" w:hAnsi="Verdana"/>
          <w:sz w:val="18"/>
          <w:szCs w:val="18"/>
        </w:rPr>
        <w:t xml:space="preserve">Anglo-Saxon Books. </w:t>
      </w:r>
    </w:p>
    <w:p w14:paraId="198D34FB" w14:textId="77777777" w:rsidR="002048B7" w:rsidRDefault="002048B7" w:rsidP="002048B7">
      <w:pPr>
        <w:pStyle w:val="NormalWeb"/>
        <w:rPr>
          <w:rFonts w:ascii="Verdana" w:hAnsi="Verdana"/>
          <w:sz w:val="18"/>
          <w:szCs w:val="18"/>
        </w:rPr>
      </w:pPr>
      <w:r>
        <w:rPr>
          <w:rFonts w:ascii="Verdana" w:hAnsi="Verdana"/>
          <w:sz w:val="18"/>
          <w:szCs w:val="18"/>
        </w:rPr>
        <w:t xml:space="preserve">PAPET, E., 2002. </w:t>
      </w:r>
      <w:r>
        <w:rPr>
          <w:rFonts w:ascii="Verdana" w:hAnsi="Verdana"/>
          <w:i/>
          <w:iCs/>
          <w:sz w:val="18"/>
          <w:szCs w:val="18"/>
        </w:rPr>
        <w:t xml:space="preserve">À fleur de </w:t>
      </w:r>
      <w:proofErr w:type="spellStart"/>
      <w:r>
        <w:rPr>
          <w:rFonts w:ascii="Verdana" w:hAnsi="Verdana"/>
          <w:i/>
          <w:iCs/>
          <w:sz w:val="18"/>
          <w:szCs w:val="18"/>
        </w:rPr>
        <w:t>peau</w:t>
      </w:r>
      <w:proofErr w:type="spellEnd"/>
      <w:r>
        <w:rPr>
          <w:rFonts w:ascii="Verdana" w:hAnsi="Verdana"/>
          <w:i/>
          <w:iCs/>
          <w:sz w:val="18"/>
          <w:szCs w:val="18"/>
        </w:rPr>
        <w:t xml:space="preserve">: Le moulage sur nature au </w:t>
      </w:r>
      <w:proofErr w:type="spellStart"/>
      <w:r>
        <w:rPr>
          <w:rFonts w:ascii="Verdana" w:hAnsi="Verdana"/>
          <w:i/>
          <w:iCs/>
          <w:sz w:val="18"/>
          <w:szCs w:val="18"/>
        </w:rPr>
        <w:t>xixe</w:t>
      </w:r>
      <w:proofErr w:type="spellEnd"/>
      <w:r>
        <w:rPr>
          <w:rFonts w:ascii="Verdana" w:hAnsi="Verdana"/>
          <w:i/>
          <w:iCs/>
          <w:sz w:val="18"/>
          <w:szCs w:val="18"/>
        </w:rPr>
        <w:t xml:space="preserve"> siècle. </w:t>
      </w:r>
      <w:r>
        <w:rPr>
          <w:rFonts w:ascii="Verdana" w:hAnsi="Verdana"/>
          <w:sz w:val="18"/>
          <w:szCs w:val="18"/>
        </w:rPr>
        <w:t xml:space="preserve">Paris: Éditions de la Réunion des </w:t>
      </w:r>
      <w:proofErr w:type="spellStart"/>
      <w:r>
        <w:rPr>
          <w:rFonts w:ascii="Verdana" w:hAnsi="Verdana"/>
          <w:sz w:val="18"/>
          <w:szCs w:val="18"/>
        </w:rPr>
        <w:t>musées</w:t>
      </w:r>
      <w:proofErr w:type="spellEnd"/>
      <w:r>
        <w:rPr>
          <w:rFonts w:ascii="Verdana" w:hAnsi="Verdana"/>
          <w:sz w:val="18"/>
          <w:szCs w:val="18"/>
        </w:rPr>
        <w:t xml:space="preserve"> </w:t>
      </w:r>
      <w:proofErr w:type="spellStart"/>
      <w:r>
        <w:rPr>
          <w:rFonts w:ascii="Verdana" w:hAnsi="Verdana"/>
          <w:sz w:val="18"/>
          <w:szCs w:val="18"/>
        </w:rPr>
        <w:t>nationaux</w:t>
      </w:r>
      <w:proofErr w:type="spellEnd"/>
      <w:r>
        <w:rPr>
          <w:rFonts w:ascii="Verdana" w:hAnsi="Verdana"/>
          <w:sz w:val="18"/>
          <w:szCs w:val="18"/>
        </w:rPr>
        <w:t xml:space="preserve">. </w:t>
      </w:r>
    </w:p>
    <w:p w14:paraId="59363003" w14:textId="77777777" w:rsidR="002048B7" w:rsidRDefault="002048B7" w:rsidP="002048B7">
      <w:pPr>
        <w:pStyle w:val="NormalWeb"/>
        <w:rPr>
          <w:rFonts w:ascii="Verdana" w:hAnsi="Verdana"/>
          <w:sz w:val="18"/>
          <w:szCs w:val="18"/>
        </w:rPr>
      </w:pPr>
      <w:r>
        <w:rPr>
          <w:rFonts w:ascii="Verdana" w:hAnsi="Verdana"/>
          <w:sz w:val="18"/>
          <w:szCs w:val="18"/>
        </w:rPr>
        <w:t>PRAG, J., 2010-last update, The colouring of the Bewcastle and Ruthwell Crosses. [</w:t>
      </w:r>
      <w:proofErr w:type="spellStart"/>
      <w:r>
        <w:rPr>
          <w:rFonts w:ascii="Verdana" w:hAnsi="Verdana"/>
          <w:sz w:val="18"/>
          <w:szCs w:val="18"/>
        </w:rPr>
        <w:t>Woruldhord</w:t>
      </w:r>
      <w:proofErr w:type="spellEnd"/>
      <w:r>
        <w:rPr>
          <w:rFonts w:ascii="Verdana" w:hAnsi="Verdana"/>
          <w:sz w:val="18"/>
          <w:szCs w:val="18"/>
        </w:rPr>
        <w:t xml:space="preserve"> Project]. Available: </w:t>
      </w:r>
      <w:hyperlink r:id="rId8" w:tgtFrame="_blank" w:history="1">
        <w:r>
          <w:rPr>
            <w:rStyle w:val="Hyperlink"/>
            <w:rFonts w:ascii="Verdana" w:hAnsi="Verdana"/>
            <w:sz w:val="18"/>
            <w:szCs w:val="18"/>
          </w:rPr>
          <w:t>http://poppy.nsms.ox.ac.uk/woruldhord/contributions/369</w:t>
        </w:r>
      </w:hyperlink>
      <w:r>
        <w:rPr>
          <w:rFonts w:ascii="Verdana" w:hAnsi="Verdana"/>
          <w:sz w:val="18"/>
          <w:szCs w:val="18"/>
        </w:rPr>
        <w:t xml:space="preserve"> [02/13, 2015]. </w:t>
      </w:r>
    </w:p>
    <w:p w14:paraId="0EDCD117" w14:textId="77777777" w:rsidR="002048B7" w:rsidRDefault="002048B7" w:rsidP="002048B7">
      <w:pPr>
        <w:pStyle w:val="NormalWeb"/>
        <w:rPr>
          <w:rFonts w:ascii="Verdana" w:hAnsi="Verdana"/>
          <w:sz w:val="18"/>
          <w:szCs w:val="18"/>
        </w:rPr>
      </w:pPr>
      <w:r>
        <w:rPr>
          <w:rFonts w:ascii="Verdana" w:hAnsi="Verdana"/>
          <w:sz w:val="18"/>
          <w:szCs w:val="18"/>
        </w:rPr>
        <w:t xml:space="preserve">RIONNET, F., 1996. </w:t>
      </w:r>
      <w:proofErr w:type="spellStart"/>
      <w:r>
        <w:rPr>
          <w:rFonts w:ascii="Verdana" w:hAnsi="Verdana"/>
          <w:i/>
          <w:iCs/>
          <w:sz w:val="18"/>
          <w:szCs w:val="18"/>
        </w:rPr>
        <w:t>L’Atelier</w:t>
      </w:r>
      <w:proofErr w:type="spellEnd"/>
      <w:r>
        <w:rPr>
          <w:rFonts w:ascii="Verdana" w:hAnsi="Verdana"/>
          <w:i/>
          <w:iCs/>
          <w:sz w:val="18"/>
          <w:szCs w:val="18"/>
        </w:rPr>
        <w:t xml:space="preserve"> du moulage du </w:t>
      </w:r>
      <w:proofErr w:type="spellStart"/>
      <w:r>
        <w:rPr>
          <w:rFonts w:ascii="Verdana" w:hAnsi="Verdana"/>
          <w:i/>
          <w:iCs/>
          <w:sz w:val="18"/>
          <w:szCs w:val="18"/>
        </w:rPr>
        <w:t>Musée</w:t>
      </w:r>
      <w:proofErr w:type="spellEnd"/>
      <w:r>
        <w:rPr>
          <w:rFonts w:ascii="Verdana" w:hAnsi="Verdana"/>
          <w:i/>
          <w:iCs/>
          <w:sz w:val="18"/>
          <w:szCs w:val="18"/>
        </w:rPr>
        <w:t xml:space="preserve"> du Louvre 1794-1928. </w:t>
      </w:r>
      <w:r>
        <w:rPr>
          <w:rFonts w:ascii="Verdana" w:hAnsi="Verdana"/>
          <w:sz w:val="18"/>
          <w:szCs w:val="18"/>
        </w:rPr>
        <w:t xml:space="preserve">Paris: Réunion des </w:t>
      </w:r>
      <w:proofErr w:type="spellStart"/>
      <w:r>
        <w:rPr>
          <w:rFonts w:ascii="Verdana" w:hAnsi="Verdana"/>
          <w:sz w:val="18"/>
          <w:szCs w:val="18"/>
        </w:rPr>
        <w:t>musées</w:t>
      </w:r>
      <w:proofErr w:type="spellEnd"/>
      <w:r>
        <w:rPr>
          <w:rFonts w:ascii="Verdana" w:hAnsi="Verdana"/>
          <w:sz w:val="18"/>
          <w:szCs w:val="18"/>
        </w:rPr>
        <w:t xml:space="preserve"> </w:t>
      </w:r>
      <w:proofErr w:type="spellStart"/>
      <w:r>
        <w:rPr>
          <w:rFonts w:ascii="Verdana" w:hAnsi="Verdana"/>
          <w:sz w:val="18"/>
          <w:szCs w:val="18"/>
        </w:rPr>
        <w:t>nationaux</w:t>
      </w:r>
      <w:proofErr w:type="spellEnd"/>
      <w:r>
        <w:rPr>
          <w:rFonts w:ascii="Verdana" w:hAnsi="Verdana"/>
          <w:sz w:val="18"/>
          <w:szCs w:val="18"/>
        </w:rPr>
        <w:t xml:space="preserve">. </w:t>
      </w:r>
    </w:p>
    <w:p w14:paraId="484E0558" w14:textId="77777777" w:rsidR="002048B7" w:rsidRDefault="002048B7" w:rsidP="002048B7">
      <w:pPr>
        <w:pStyle w:val="NormalWeb"/>
        <w:rPr>
          <w:rFonts w:ascii="Verdana" w:hAnsi="Verdana"/>
          <w:sz w:val="18"/>
          <w:szCs w:val="18"/>
        </w:rPr>
      </w:pPr>
      <w:r>
        <w:rPr>
          <w:rFonts w:ascii="Verdana" w:hAnsi="Verdana"/>
          <w:sz w:val="18"/>
          <w:szCs w:val="18"/>
        </w:rPr>
        <w:t xml:space="preserve">RISDONNE, V., HUBBARD, C., LÓPEZ B., V.H. and THEODORAKOPOULOS, C., 2021. Materials and techniques for the coating of nineteenth-century plaster casts: a review of historical sources. </w:t>
      </w:r>
      <w:r>
        <w:rPr>
          <w:rFonts w:ascii="Verdana" w:hAnsi="Verdana"/>
          <w:i/>
          <w:iCs/>
          <w:sz w:val="18"/>
          <w:szCs w:val="18"/>
        </w:rPr>
        <w:t xml:space="preserve">Studies in Conservation, </w:t>
      </w:r>
      <w:r>
        <w:rPr>
          <w:rFonts w:ascii="Verdana" w:hAnsi="Verdana"/>
          <w:sz w:val="18"/>
          <w:szCs w:val="18"/>
        </w:rPr>
        <w:t xml:space="preserve">, pp. 1-23. </w:t>
      </w:r>
    </w:p>
    <w:p w14:paraId="742FDE54" w14:textId="77777777" w:rsidR="002048B7" w:rsidRDefault="002048B7" w:rsidP="002048B7">
      <w:pPr>
        <w:pStyle w:val="NormalWeb"/>
        <w:rPr>
          <w:rFonts w:ascii="Verdana" w:hAnsi="Verdana"/>
          <w:sz w:val="18"/>
          <w:szCs w:val="18"/>
        </w:rPr>
      </w:pPr>
      <w:r>
        <w:rPr>
          <w:rFonts w:ascii="Verdana" w:hAnsi="Verdana"/>
          <w:sz w:val="18"/>
          <w:szCs w:val="18"/>
        </w:rPr>
        <w:t xml:space="preserve">RITCHIE, J., 1934. Cleaning and preserving sculpture casts by a cellulose method. </w:t>
      </w:r>
      <w:r>
        <w:rPr>
          <w:rFonts w:ascii="Verdana" w:hAnsi="Verdana"/>
          <w:i/>
          <w:iCs/>
          <w:sz w:val="18"/>
          <w:szCs w:val="18"/>
        </w:rPr>
        <w:t xml:space="preserve">Museums Journal, </w:t>
      </w:r>
      <w:r>
        <w:rPr>
          <w:rFonts w:ascii="Verdana" w:hAnsi="Verdana"/>
          <w:b/>
          <w:bCs/>
          <w:sz w:val="18"/>
          <w:szCs w:val="18"/>
        </w:rPr>
        <w:t>33</w:t>
      </w:r>
      <w:r>
        <w:rPr>
          <w:rFonts w:ascii="Verdana" w:hAnsi="Verdana"/>
          <w:sz w:val="18"/>
          <w:szCs w:val="18"/>
        </w:rPr>
        <w:t xml:space="preserve">(1933-34), pp. 465-468. </w:t>
      </w:r>
    </w:p>
    <w:p w14:paraId="6B7122CA" w14:textId="77777777" w:rsidR="002048B7" w:rsidRDefault="002048B7" w:rsidP="002048B7">
      <w:pPr>
        <w:pStyle w:val="NormalWeb"/>
        <w:rPr>
          <w:rFonts w:ascii="Verdana" w:hAnsi="Verdana"/>
          <w:sz w:val="18"/>
          <w:szCs w:val="18"/>
        </w:rPr>
      </w:pPr>
      <w:r>
        <w:rPr>
          <w:rFonts w:ascii="Verdana" w:hAnsi="Verdana"/>
          <w:sz w:val="18"/>
          <w:szCs w:val="18"/>
        </w:rPr>
        <w:t xml:space="preserve">WADE, R., 2019. </w:t>
      </w:r>
      <w:r>
        <w:rPr>
          <w:rFonts w:ascii="Verdana" w:hAnsi="Verdana"/>
          <w:i/>
          <w:iCs/>
          <w:sz w:val="18"/>
          <w:szCs w:val="18"/>
        </w:rPr>
        <w:t>Domenico Brucciani and the </w:t>
      </w:r>
      <w:proofErr w:type="spellStart"/>
      <w:r>
        <w:rPr>
          <w:rFonts w:ascii="Verdana" w:hAnsi="Verdana"/>
          <w:i/>
          <w:iCs/>
          <w:sz w:val="18"/>
          <w:szCs w:val="18"/>
        </w:rPr>
        <w:t>Formatori</w:t>
      </w:r>
      <w:proofErr w:type="spellEnd"/>
      <w:r>
        <w:rPr>
          <w:rFonts w:ascii="Verdana" w:hAnsi="Verdana"/>
          <w:i/>
          <w:iCs/>
          <w:sz w:val="18"/>
          <w:szCs w:val="18"/>
        </w:rPr>
        <w:t xml:space="preserve"> of 19th-century Britain. </w:t>
      </w:r>
      <w:r>
        <w:rPr>
          <w:rFonts w:ascii="Verdana" w:hAnsi="Verdana"/>
          <w:sz w:val="18"/>
          <w:szCs w:val="18"/>
        </w:rPr>
        <w:t xml:space="preserve">London: Bloomsbury Visual Arts. </w:t>
      </w:r>
    </w:p>
    <w:p w14:paraId="6E509D56" w14:textId="77777777" w:rsidR="002048B7" w:rsidRDefault="002048B7" w:rsidP="002048B7">
      <w:pPr>
        <w:pStyle w:val="NormalWeb"/>
        <w:rPr>
          <w:rFonts w:ascii="Verdana" w:hAnsi="Verdana"/>
          <w:sz w:val="18"/>
          <w:szCs w:val="18"/>
        </w:rPr>
      </w:pPr>
      <w:r>
        <w:rPr>
          <w:rFonts w:ascii="Verdana" w:hAnsi="Verdana"/>
          <w:sz w:val="18"/>
          <w:szCs w:val="18"/>
        </w:rPr>
        <w:t xml:space="preserve">WALKER, S., ed, 2013. </w:t>
      </w:r>
      <w:r>
        <w:rPr>
          <w:rFonts w:ascii="Verdana" w:hAnsi="Verdana"/>
          <w:i/>
          <w:iCs/>
          <w:sz w:val="18"/>
          <w:szCs w:val="18"/>
        </w:rPr>
        <w:t xml:space="preserve">The Modern History of Celtic Jewellery 1840-1980. </w:t>
      </w:r>
      <w:r>
        <w:rPr>
          <w:rFonts w:ascii="Verdana" w:hAnsi="Verdana"/>
          <w:sz w:val="18"/>
          <w:szCs w:val="18"/>
        </w:rPr>
        <w:t xml:space="preserve">Andover, New York: Walker Metalsmiths. </w:t>
      </w:r>
    </w:p>
    <w:p w14:paraId="25B0D31F" w14:textId="77777777" w:rsidR="002048B7" w:rsidRDefault="002048B7" w:rsidP="002048B7">
      <w:pPr>
        <w:pStyle w:val="NormalWeb"/>
        <w:rPr>
          <w:rFonts w:ascii="Verdana" w:hAnsi="Verdana"/>
          <w:sz w:val="18"/>
          <w:szCs w:val="18"/>
        </w:rPr>
      </w:pPr>
      <w:r>
        <w:rPr>
          <w:rFonts w:ascii="Verdana" w:hAnsi="Verdana"/>
          <w:sz w:val="18"/>
          <w:szCs w:val="18"/>
        </w:rPr>
        <w:t xml:space="preserve">WATKINSON, D., 1982. Making a large-scale replica: the Pillar of Eliseg. </w:t>
      </w:r>
      <w:r>
        <w:rPr>
          <w:rFonts w:ascii="Verdana" w:hAnsi="Verdana"/>
          <w:i/>
          <w:iCs/>
          <w:sz w:val="18"/>
          <w:szCs w:val="18"/>
        </w:rPr>
        <w:t xml:space="preserve">The Conservator, </w:t>
      </w:r>
      <w:r>
        <w:rPr>
          <w:rFonts w:ascii="Verdana" w:hAnsi="Verdana"/>
          <w:b/>
          <w:bCs/>
          <w:sz w:val="18"/>
          <w:szCs w:val="18"/>
        </w:rPr>
        <w:t>6</w:t>
      </w:r>
      <w:r>
        <w:rPr>
          <w:rFonts w:ascii="Verdana" w:hAnsi="Verdana"/>
          <w:sz w:val="18"/>
          <w:szCs w:val="18"/>
        </w:rPr>
        <w:t xml:space="preserve">, pp. 6-11. </w:t>
      </w:r>
    </w:p>
    <w:p w14:paraId="0BA00EE0" w14:textId="77777777" w:rsidR="002048B7" w:rsidRDefault="002048B7" w:rsidP="002048B7">
      <w:pPr>
        <w:pStyle w:val="NormalWeb"/>
        <w:rPr>
          <w:rFonts w:ascii="Verdana" w:hAnsi="Verdana"/>
          <w:sz w:val="18"/>
          <w:szCs w:val="18"/>
        </w:rPr>
      </w:pPr>
      <w:r>
        <w:rPr>
          <w:rFonts w:ascii="Verdana" w:hAnsi="Verdana"/>
          <w:sz w:val="18"/>
          <w:szCs w:val="18"/>
        </w:rPr>
        <w:t xml:space="preserve">WELANDER, R.D.E., 1998. Recent developments in conservation and presentation. In: S.M. FOSTER, ed, </w:t>
      </w:r>
      <w:r>
        <w:rPr>
          <w:rFonts w:ascii="Verdana" w:hAnsi="Verdana"/>
          <w:i/>
          <w:iCs/>
          <w:sz w:val="18"/>
          <w:szCs w:val="18"/>
        </w:rPr>
        <w:t xml:space="preserve">The St. Andrews Sarcophagus: A Pictish Masterpiece and its International Connections. </w:t>
      </w:r>
      <w:r>
        <w:rPr>
          <w:rFonts w:ascii="Verdana" w:hAnsi="Verdana"/>
          <w:sz w:val="18"/>
          <w:szCs w:val="18"/>
        </w:rPr>
        <w:t xml:space="preserve">Dublin: Four Courts Press, pp. 63-70. </w:t>
      </w:r>
    </w:p>
    <w:p w14:paraId="16676D36" w14:textId="77777777" w:rsidR="002048B7" w:rsidRDefault="002048B7" w:rsidP="002048B7">
      <w:pPr>
        <w:pStyle w:val="NormalWeb"/>
        <w:rPr>
          <w:rFonts w:ascii="Verdana" w:hAnsi="Verdana"/>
          <w:sz w:val="18"/>
          <w:szCs w:val="18"/>
        </w:rPr>
      </w:pPr>
      <w:r>
        <w:rPr>
          <w:rFonts w:ascii="Verdana" w:hAnsi="Verdana"/>
          <w:sz w:val="18"/>
          <w:szCs w:val="18"/>
        </w:rPr>
        <w:t xml:space="preserve">WIREMU, T.G. (NGĀTI POROU, NGĀTI WAIRERE), 2020. Carving a contemporary replica of the 1769 ‘Joseph Banks’ panel using pre-steel tools: reviving a traditional Māori carving technique. </w:t>
      </w:r>
      <w:r>
        <w:rPr>
          <w:rFonts w:ascii="Verdana" w:hAnsi="Verdana"/>
          <w:i/>
          <w:iCs/>
          <w:sz w:val="18"/>
          <w:szCs w:val="18"/>
        </w:rPr>
        <w:t xml:space="preserve">Journal of Material Culture, </w:t>
      </w:r>
      <w:r>
        <w:rPr>
          <w:rFonts w:ascii="Verdana" w:hAnsi="Verdana"/>
          <w:b/>
          <w:bCs/>
          <w:sz w:val="18"/>
          <w:szCs w:val="18"/>
        </w:rPr>
        <w:t>25</w:t>
      </w:r>
      <w:r>
        <w:rPr>
          <w:rFonts w:ascii="Verdana" w:hAnsi="Verdana"/>
          <w:sz w:val="18"/>
          <w:szCs w:val="18"/>
        </w:rPr>
        <w:t xml:space="preserve">(1), pp. 108-129. </w:t>
      </w:r>
    </w:p>
    <w:p w14:paraId="019BA77F" w14:textId="77777777" w:rsidR="00D557F6" w:rsidRDefault="00D557F6" w:rsidP="008A4478"/>
    <w:p w14:paraId="4B756111" w14:textId="77777777" w:rsidR="00D557F6" w:rsidRPr="008A4478" w:rsidRDefault="00D557F6" w:rsidP="008A4478"/>
    <w:sectPr w:rsidR="00D557F6" w:rsidRPr="008A447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A992" w14:textId="77777777" w:rsidR="009B1C48" w:rsidRDefault="009B1C48" w:rsidP="008A4478">
      <w:pPr>
        <w:spacing w:after="0" w:line="240" w:lineRule="auto"/>
      </w:pPr>
      <w:r>
        <w:separator/>
      </w:r>
    </w:p>
  </w:endnote>
  <w:endnote w:type="continuationSeparator" w:id="0">
    <w:p w14:paraId="66D70252" w14:textId="77777777" w:rsidR="009B1C48" w:rsidRDefault="009B1C48" w:rsidP="008A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602481"/>
      <w:docPartObj>
        <w:docPartGallery w:val="Page Numbers (Bottom of Page)"/>
        <w:docPartUnique/>
      </w:docPartObj>
    </w:sdtPr>
    <w:sdtEndPr>
      <w:rPr>
        <w:b/>
        <w:noProof/>
        <w:color w:val="1F4E79" w:themeColor="accent1" w:themeShade="80"/>
      </w:rPr>
    </w:sdtEndPr>
    <w:sdtContent>
      <w:p w14:paraId="24425632" w14:textId="78793BB1" w:rsidR="008A4478" w:rsidRPr="001309A3" w:rsidRDefault="001F2E31" w:rsidP="001309A3">
        <w:pPr>
          <w:pStyle w:val="Footer"/>
          <w:jc w:val="right"/>
        </w:pPr>
        <w:r>
          <w:t xml:space="preserve"> </w:t>
        </w:r>
        <w:r w:rsidR="008A4478" w:rsidRPr="008A4478">
          <w:rPr>
            <w:b/>
            <w:color w:val="1F4E79" w:themeColor="accent1" w:themeShade="80"/>
          </w:rPr>
          <w:fldChar w:fldCharType="begin"/>
        </w:r>
        <w:r w:rsidR="008A4478" w:rsidRPr="008A4478">
          <w:rPr>
            <w:b/>
            <w:color w:val="1F4E79" w:themeColor="accent1" w:themeShade="80"/>
          </w:rPr>
          <w:instrText xml:space="preserve"> PAGE   \* MERGEFORMAT </w:instrText>
        </w:r>
        <w:r w:rsidR="008A4478" w:rsidRPr="008A4478">
          <w:rPr>
            <w:b/>
            <w:color w:val="1F4E79" w:themeColor="accent1" w:themeShade="80"/>
          </w:rPr>
          <w:fldChar w:fldCharType="separate"/>
        </w:r>
        <w:r w:rsidR="00D557F6">
          <w:rPr>
            <w:b/>
            <w:noProof/>
            <w:color w:val="1F4E79" w:themeColor="accent1" w:themeShade="80"/>
          </w:rPr>
          <w:t>1</w:t>
        </w:r>
        <w:r w:rsidR="008A4478" w:rsidRPr="008A4478">
          <w:rPr>
            <w:b/>
            <w:noProof/>
            <w:color w:val="1F4E79" w:themeColor="accent1" w:themeShade="80"/>
          </w:rPr>
          <w:fldChar w:fldCharType="end"/>
        </w:r>
      </w:p>
    </w:sdtContent>
  </w:sdt>
  <w:p w14:paraId="1FF17928" w14:textId="6C87B04A" w:rsidR="008A4478" w:rsidRPr="001F2E31" w:rsidRDefault="001F2E31" w:rsidP="008A4478">
    <w:pPr>
      <w:pStyle w:val="Footer"/>
      <w:jc w:val="right"/>
      <w:rPr>
        <w:color w:val="1F3864" w:themeColor="accent5" w:themeShade="80"/>
      </w:rPr>
    </w:pPr>
    <w:r w:rsidRPr="001F2E31">
      <w:rPr>
        <w:b/>
        <w:bCs/>
        <w:color w:val="1F3864" w:themeColor="accent5" w:themeShade="80"/>
      </w:rPr>
      <w:t>Last revised</w:t>
    </w:r>
    <w:r w:rsidRPr="001F2E31">
      <w:rPr>
        <w:color w:val="1F3864" w:themeColor="accent5" w:themeShade="80"/>
      </w:rPr>
      <w:t xml:space="preserve"> </w:t>
    </w:r>
    <w:r w:rsidRPr="001F2E31">
      <w:rPr>
        <w:color w:val="1F3864" w:themeColor="accent5" w:themeShade="80"/>
      </w:rPr>
      <w:fldChar w:fldCharType="begin"/>
    </w:r>
    <w:r w:rsidRPr="001F2E31">
      <w:rPr>
        <w:color w:val="1F3864" w:themeColor="accent5" w:themeShade="80"/>
      </w:rPr>
      <w:instrText xml:space="preserve"> DATE  \@ "dd MMMM yyyy"  \* MERGEFORMAT </w:instrText>
    </w:r>
    <w:r w:rsidRPr="001F2E31">
      <w:rPr>
        <w:color w:val="1F3864" w:themeColor="accent5" w:themeShade="80"/>
      </w:rPr>
      <w:fldChar w:fldCharType="separate"/>
    </w:r>
    <w:r w:rsidR="002048B7">
      <w:rPr>
        <w:noProof/>
        <w:color w:val="1F3864" w:themeColor="accent5" w:themeShade="80"/>
      </w:rPr>
      <w:t>13 November 2022</w:t>
    </w:r>
    <w:r w:rsidRPr="001F2E31">
      <w:rPr>
        <w:color w:val="1F3864" w:themeColor="accent5"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27E4" w14:textId="77777777" w:rsidR="009B1C48" w:rsidRDefault="009B1C48" w:rsidP="008A4478">
      <w:pPr>
        <w:spacing w:after="0" w:line="240" w:lineRule="auto"/>
      </w:pPr>
      <w:r>
        <w:separator/>
      </w:r>
    </w:p>
  </w:footnote>
  <w:footnote w:type="continuationSeparator" w:id="0">
    <w:p w14:paraId="393268BF" w14:textId="77777777" w:rsidR="009B1C48" w:rsidRDefault="009B1C48" w:rsidP="008A4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5297" w14:textId="66E0C0C0" w:rsidR="008A4478" w:rsidRPr="001F2E31" w:rsidRDefault="001F2E31" w:rsidP="008A4478">
    <w:pPr>
      <w:pStyle w:val="Header"/>
      <w:jc w:val="right"/>
      <w:rPr>
        <w:bCs/>
        <w:color w:val="1F4E79" w:themeColor="accent1" w:themeShade="80"/>
        <w:szCs w:val="24"/>
      </w:rPr>
    </w:pPr>
    <w:r w:rsidRPr="001F2E31">
      <w:rPr>
        <w:bCs/>
        <w:color w:val="1F4E79" w:themeColor="accent1" w:themeShade="80"/>
        <w:szCs w:val="24"/>
      </w:rPr>
      <w:t xml:space="preserve">Reading list sourced from </w:t>
    </w:r>
    <w:r w:rsidRPr="001F2E31">
      <w:rPr>
        <w:b/>
        <w:color w:val="1F4E79" w:themeColor="accent1" w:themeShade="80"/>
        <w:szCs w:val="24"/>
      </w:rPr>
      <w:t>www.replicas.stir.ac.uk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zNDSyMDExNjOyNDBX0lEKTi0uzszPAykwrAUAWudX+CwAAAA="/>
  </w:docVars>
  <w:rsids>
    <w:rsidRoot w:val="008A4478"/>
    <w:rsid w:val="00011A9F"/>
    <w:rsid w:val="00023314"/>
    <w:rsid w:val="00025D1E"/>
    <w:rsid w:val="00034FD6"/>
    <w:rsid w:val="00037E8F"/>
    <w:rsid w:val="00040ADE"/>
    <w:rsid w:val="00044C8A"/>
    <w:rsid w:val="0007187A"/>
    <w:rsid w:val="00090128"/>
    <w:rsid w:val="00090564"/>
    <w:rsid w:val="000A34BF"/>
    <w:rsid w:val="000B641B"/>
    <w:rsid w:val="00100448"/>
    <w:rsid w:val="0010551F"/>
    <w:rsid w:val="001309A3"/>
    <w:rsid w:val="00136600"/>
    <w:rsid w:val="00137935"/>
    <w:rsid w:val="00185414"/>
    <w:rsid w:val="001963B4"/>
    <w:rsid w:val="001A689C"/>
    <w:rsid w:val="001B25C1"/>
    <w:rsid w:val="001F2E31"/>
    <w:rsid w:val="001F54D1"/>
    <w:rsid w:val="002048B7"/>
    <w:rsid w:val="002079B1"/>
    <w:rsid w:val="00224474"/>
    <w:rsid w:val="00231AEF"/>
    <w:rsid w:val="00240E84"/>
    <w:rsid w:val="0026223E"/>
    <w:rsid w:val="00275385"/>
    <w:rsid w:val="00296D85"/>
    <w:rsid w:val="002A58A4"/>
    <w:rsid w:val="002B34E7"/>
    <w:rsid w:val="002F2F54"/>
    <w:rsid w:val="002F475B"/>
    <w:rsid w:val="0033397B"/>
    <w:rsid w:val="003502F9"/>
    <w:rsid w:val="00361F5A"/>
    <w:rsid w:val="003D224E"/>
    <w:rsid w:val="003D64DD"/>
    <w:rsid w:val="003E7282"/>
    <w:rsid w:val="00404416"/>
    <w:rsid w:val="0043128B"/>
    <w:rsid w:val="00431ED2"/>
    <w:rsid w:val="00471F61"/>
    <w:rsid w:val="004744F8"/>
    <w:rsid w:val="004A6B9F"/>
    <w:rsid w:val="004B7411"/>
    <w:rsid w:val="004E7E1C"/>
    <w:rsid w:val="00535191"/>
    <w:rsid w:val="00565A56"/>
    <w:rsid w:val="005A6EA3"/>
    <w:rsid w:val="005F3D45"/>
    <w:rsid w:val="006130ED"/>
    <w:rsid w:val="00615181"/>
    <w:rsid w:val="00657108"/>
    <w:rsid w:val="00693EC1"/>
    <w:rsid w:val="006B0C8F"/>
    <w:rsid w:val="006D712F"/>
    <w:rsid w:val="006F3C4D"/>
    <w:rsid w:val="006F5986"/>
    <w:rsid w:val="00711541"/>
    <w:rsid w:val="00712D5B"/>
    <w:rsid w:val="0072530C"/>
    <w:rsid w:val="00736E62"/>
    <w:rsid w:val="007371C4"/>
    <w:rsid w:val="0074464F"/>
    <w:rsid w:val="00757D64"/>
    <w:rsid w:val="00764593"/>
    <w:rsid w:val="00766161"/>
    <w:rsid w:val="00782997"/>
    <w:rsid w:val="0079214F"/>
    <w:rsid w:val="007B1673"/>
    <w:rsid w:val="007C01AC"/>
    <w:rsid w:val="007C4811"/>
    <w:rsid w:val="007F2949"/>
    <w:rsid w:val="007F7344"/>
    <w:rsid w:val="00801FAF"/>
    <w:rsid w:val="008422B5"/>
    <w:rsid w:val="00856D56"/>
    <w:rsid w:val="008823E1"/>
    <w:rsid w:val="008868D6"/>
    <w:rsid w:val="00890B58"/>
    <w:rsid w:val="008A4478"/>
    <w:rsid w:val="008C216F"/>
    <w:rsid w:val="008F1273"/>
    <w:rsid w:val="00901D2C"/>
    <w:rsid w:val="00907C60"/>
    <w:rsid w:val="00920DF0"/>
    <w:rsid w:val="00943A75"/>
    <w:rsid w:val="009512CF"/>
    <w:rsid w:val="00957465"/>
    <w:rsid w:val="009B1C48"/>
    <w:rsid w:val="009C33C3"/>
    <w:rsid w:val="009D29A3"/>
    <w:rsid w:val="009E078E"/>
    <w:rsid w:val="009E4EEC"/>
    <w:rsid w:val="009E507F"/>
    <w:rsid w:val="00A274D7"/>
    <w:rsid w:val="00A4097A"/>
    <w:rsid w:val="00A43352"/>
    <w:rsid w:val="00A44C8C"/>
    <w:rsid w:val="00A766DF"/>
    <w:rsid w:val="00A87E05"/>
    <w:rsid w:val="00A902B9"/>
    <w:rsid w:val="00A94295"/>
    <w:rsid w:val="00AD7074"/>
    <w:rsid w:val="00AE7873"/>
    <w:rsid w:val="00B21055"/>
    <w:rsid w:val="00B36B61"/>
    <w:rsid w:val="00B3775B"/>
    <w:rsid w:val="00B46AB1"/>
    <w:rsid w:val="00B70472"/>
    <w:rsid w:val="00BB137E"/>
    <w:rsid w:val="00BB4FCE"/>
    <w:rsid w:val="00BD58FE"/>
    <w:rsid w:val="00BF339E"/>
    <w:rsid w:val="00C32FFC"/>
    <w:rsid w:val="00C437D5"/>
    <w:rsid w:val="00CA2282"/>
    <w:rsid w:val="00CB258D"/>
    <w:rsid w:val="00CB45A3"/>
    <w:rsid w:val="00CD463F"/>
    <w:rsid w:val="00CD60DE"/>
    <w:rsid w:val="00CE53A0"/>
    <w:rsid w:val="00D22039"/>
    <w:rsid w:val="00D517A4"/>
    <w:rsid w:val="00D557F6"/>
    <w:rsid w:val="00D70BAA"/>
    <w:rsid w:val="00DA01D9"/>
    <w:rsid w:val="00DA0372"/>
    <w:rsid w:val="00DF4865"/>
    <w:rsid w:val="00E21973"/>
    <w:rsid w:val="00E21EAA"/>
    <w:rsid w:val="00E23298"/>
    <w:rsid w:val="00E26A78"/>
    <w:rsid w:val="00E46DE7"/>
    <w:rsid w:val="00E92BF6"/>
    <w:rsid w:val="00EA2088"/>
    <w:rsid w:val="00EA449A"/>
    <w:rsid w:val="00F47974"/>
    <w:rsid w:val="00F80281"/>
    <w:rsid w:val="00F81EAB"/>
    <w:rsid w:val="00FD3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6FB4C"/>
  <w15:chartTrackingRefBased/>
  <w15:docId w15:val="{871134D1-F239-4521-9FB0-66E71BB4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78"/>
    <w:rPr>
      <w:sz w:val="24"/>
    </w:rPr>
  </w:style>
  <w:style w:type="paragraph" w:styleId="Heading1">
    <w:name w:val="heading 1"/>
    <w:basedOn w:val="Normal"/>
    <w:next w:val="Normal"/>
    <w:link w:val="Heading1Char"/>
    <w:uiPriority w:val="9"/>
    <w:qFormat/>
    <w:rsid w:val="008A44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44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478"/>
  </w:style>
  <w:style w:type="paragraph" w:styleId="Footer">
    <w:name w:val="footer"/>
    <w:basedOn w:val="Normal"/>
    <w:link w:val="FooterChar"/>
    <w:uiPriority w:val="99"/>
    <w:unhideWhenUsed/>
    <w:rsid w:val="008A4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478"/>
  </w:style>
  <w:style w:type="character" w:customStyle="1" w:styleId="Heading1Char">
    <w:name w:val="Heading 1 Char"/>
    <w:basedOn w:val="DefaultParagraphFont"/>
    <w:link w:val="Heading1"/>
    <w:uiPriority w:val="9"/>
    <w:rsid w:val="008A447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A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4478"/>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1309A3"/>
    <w:rPr>
      <w:color w:val="808080"/>
    </w:rPr>
  </w:style>
  <w:style w:type="paragraph" w:styleId="NoSpacing">
    <w:name w:val="No Spacing"/>
    <w:uiPriority w:val="1"/>
    <w:qFormat/>
    <w:rsid w:val="00CB45A3"/>
    <w:pPr>
      <w:spacing w:after="0" w:line="240" w:lineRule="auto"/>
    </w:pPr>
    <w:rPr>
      <w:sz w:val="24"/>
    </w:rPr>
  </w:style>
  <w:style w:type="paragraph" w:styleId="NormalWeb">
    <w:name w:val="Normal (Web)"/>
    <w:basedOn w:val="Normal"/>
    <w:uiPriority w:val="99"/>
    <w:semiHidden/>
    <w:unhideWhenUsed/>
    <w:rsid w:val="001963B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196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7452">
      <w:bodyDiv w:val="1"/>
      <w:marLeft w:val="0"/>
      <w:marRight w:val="0"/>
      <w:marTop w:val="0"/>
      <w:marBottom w:val="0"/>
      <w:divBdr>
        <w:top w:val="none" w:sz="0" w:space="0" w:color="auto"/>
        <w:left w:val="none" w:sz="0" w:space="0" w:color="auto"/>
        <w:bottom w:val="none" w:sz="0" w:space="0" w:color="auto"/>
        <w:right w:val="none" w:sz="0" w:space="0" w:color="auto"/>
      </w:divBdr>
    </w:div>
    <w:div w:id="279652211">
      <w:bodyDiv w:val="1"/>
      <w:marLeft w:val="0"/>
      <w:marRight w:val="0"/>
      <w:marTop w:val="0"/>
      <w:marBottom w:val="0"/>
      <w:divBdr>
        <w:top w:val="none" w:sz="0" w:space="0" w:color="auto"/>
        <w:left w:val="none" w:sz="0" w:space="0" w:color="auto"/>
        <w:bottom w:val="none" w:sz="0" w:space="0" w:color="auto"/>
        <w:right w:val="none" w:sz="0" w:space="0" w:color="auto"/>
      </w:divBdr>
    </w:div>
    <w:div w:id="7925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ppy.nsms.ox.ac.uk/woruldhord/contributions/369" TargetMode="External"/><Relationship Id="rId3" Type="http://schemas.openxmlformats.org/officeDocument/2006/relationships/settings" Target="settings.xml"/><Relationship Id="rId7" Type="http://schemas.openxmlformats.org/officeDocument/2006/relationships/hyperlink" Target="http://sculpture.gla.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FCD6D-6EF7-4175-9F12-630CBC5D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craft of making and conserving replicas</vt:lpstr>
    </vt:vector>
  </TitlesOfParts>
  <Company>University of Stirling</Company>
  <LinksUpToDate>false</LinksUpToDate>
  <CharactersWithSpaces>4720</CharactersWithSpaces>
  <SharedDoc>false</SharedDoc>
  <HyperlinkBase>www.replicas.stir.ac.uk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craft of making and conserving replicas</dc:title>
  <dc:subject/>
  <dc:creator>Sally Foster</dc:creator>
  <cp:keywords/>
  <dc:description/>
  <cp:lastModifiedBy>Sally Foster</cp:lastModifiedBy>
  <cp:revision>8</cp:revision>
  <dcterms:created xsi:type="dcterms:W3CDTF">2020-07-13T11:29:00Z</dcterms:created>
  <dcterms:modified xsi:type="dcterms:W3CDTF">2022-11-13T19:03:00Z</dcterms:modified>
</cp:coreProperties>
</file>