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2658F04D" w14:textId="622D6340" w:rsidR="00657108" w:rsidRPr="008A4478" w:rsidRDefault="00615181" w:rsidP="008A4478">
      <w:pPr>
        <w:pStyle w:val="Heading1"/>
      </w:pPr>
      <w:r>
        <w:t xml:space="preserve">Research on </w:t>
      </w:r>
      <w:r w:rsidR="00090564">
        <w:t>specific replicas / replica assemblages</w:t>
      </w:r>
    </w:p>
    <w:p w14:paraId="0A5E26B4" w14:textId="77777777" w:rsidR="00CB45A3" w:rsidRDefault="00CB45A3" w:rsidP="00CB45A3">
      <w:pPr>
        <w:pStyle w:val="NoSpacing"/>
      </w:pPr>
    </w:p>
    <w:p w14:paraId="4EB76433" w14:textId="020FE919" w:rsidR="001A05C4" w:rsidRDefault="001A05C4" w:rsidP="001A05C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1A05C4">
        <w:rPr>
          <w:rFonts w:asciiTheme="minorHAnsi" w:hAnsiTheme="minorHAnsi"/>
          <w:color w:val="000000"/>
        </w:rPr>
        <w:t>See Research</w:t>
      </w:r>
      <w:r>
        <w:rPr>
          <w:rFonts w:asciiTheme="minorHAnsi" w:hAnsiTheme="minorHAnsi"/>
          <w:color w:val="000000"/>
        </w:rPr>
        <w:t xml:space="preserve"> on Collections for edited volumes containing chapters about individual assemblages</w:t>
      </w:r>
      <w:r w:rsidR="00CD5EB2">
        <w:rPr>
          <w:rFonts w:asciiTheme="minorHAnsi" w:hAnsiTheme="minorHAnsi"/>
          <w:color w:val="000000"/>
        </w:rPr>
        <w:t>, including</w:t>
      </w:r>
      <w:r w:rsidR="00D90BB3">
        <w:rPr>
          <w:rFonts w:asciiTheme="minorHAnsi" w:hAnsiTheme="minorHAnsi"/>
          <w:color w:val="000000"/>
        </w:rPr>
        <w:t xml:space="preserve"> Alexandridis and Winkler-Horacek eds 2022.</w:t>
      </w:r>
    </w:p>
    <w:p w14:paraId="0ECEC974" w14:textId="77777777" w:rsidR="001A05C4" w:rsidRPr="001A05C4" w:rsidRDefault="001A05C4" w:rsidP="00454A53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color w:val="000000"/>
        </w:rPr>
      </w:pPr>
    </w:p>
    <w:p w14:paraId="79E657E4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ALBERTI, S.J.M.M., 2023 forthcoming. </w:t>
      </w:r>
      <w:r>
        <w:rPr>
          <w:rFonts w:ascii="Verdana" w:hAnsi="Verdana"/>
          <w:i/>
          <w:iCs/>
          <w:sz w:val="18"/>
          <w:szCs w:val="18"/>
        </w:rPr>
        <w:t>Cast no doubt</w:t>
      </w:r>
      <w:r>
        <w:rPr>
          <w:rFonts w:ascii="Verdana" w:hAnsi="Verdana"/>
          <w:sz w:val="18"/>
          <w:szCs w:val="18"/>
        </w:rPr>
        <w:t xml:space="preserve">: plaster heads in science and medicine. </w:t>
      </w:r>
      <w:r>
        <w:rPr>
          <w:rFonts w:ascii="Verdana" w:hAnsi="Verdana"/>
          <w:i/>
          <w:iCs/>
          <w:sz w:val="18"/>
          <w:szCs w:val="18"/>
        </w:rPr>
        <w:t xml:space="preserve">3D Modelling: Bodies and Buildings in Anthropology, Anatomy and Architecture (Anthropological Studies of Creativity and Perception). </w:t>
      </w:r>
      <w:r>
        <w:rPr>
          <w:rFonts w:ascii="Verdana" w:hAnsi="Verdana"/>
          <w:sz w:val="18"/>
          <w:szCs w:val="18"/>
        </w:rPr>
        <w:t xml:space="preserve">Routledge, . </w:t>
      </w:r>
    </w:p>
    <w:p w14:paraId="14C6AD62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AMICO, N., RONZINO, P., VASSALLO, V., MILTIADOUS, N., HERMON, S. and NICCOLUCCI, N., 2018. Theorizing authenticity - practising reality: the 3D replica of the Kazaphani boat. In: DI GIUSEPPANTONIO DI FRANCO, P., F. GALEAZZI and V. VASSALLO, eds, </w:t>
      </w:r>
      <w:r>
        <w:rPr>
          <w:rFonts w:ascii="Verdana" w:hAnsi="Verdana"/>
          <w:i/>
          <w:iCs/>
          <w:sz w:val="18"/>
          <w:szCs w:val="18"/>
        </w:rPr>
        <w:t xml:space="preserve">Authenticity and Cultural Heritage in the Age of 3D Digital Reproductions. </w:t>
      </w:r>
      <w:r>
        <w:rPr>
          <w:rFonts w:ascii="Verdana" w:hAnsi="Verdana"/>
          <w:sz w:val="18"/>
          <w:szCs w:val="18"/>
        </w:rPr>
        <w:t xml:space="preserve">Cambridge: McDonald Institute, University of Cambridge, pp. 111-122. </w:t>
      </w:r>
    </w:p>
    <w:p w14:paraId="24F63D47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BAKER, M., 2010. The reproductive continuum: plaster casts, paper mosaics and photographs as complementary modes of reproduction in the nineteenth-century museum. In: R. FREDERIKSEN and E. MARCHAND, eds, </w:t>
      </w:r>
      <w:r>
        <w:rPr>
          <w:rFonts w:ascii="Verdana" w:hAnsi="Verdana"/>
          <w:i/>
          <w:iCs/>
          <w:sz w:val="18"/>
          <w:szCs w:val="18"/>
        </w:rPr>
        <w:t xml:space="preserve">Plaster Casts: Making, Collecting, and Displaying from Classical Antiquity to the Present. </w:t>
      </w:r>
      <w:r>
        <w:rPr>
          <w:rFonts w:ascii="Verdana" w:hAnsi="Verdana"/>
          <w:sz w:val="18"/>
          <w:szCs w:val="18"/>
        </w:rPr>
        <w:t xml:space="preserve">Berlin; New York: De Gruyter, pp. 485-500. </w:t>
      </w:r>
    </w:p>
    <w:p w14:paraId="15999ADF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BAKER, M., 1997. The ivory multiplied: small-scale sculpture and its reproductions in the eighteenth century. In: A. HUGHES and E. RANFFT, eds, </w:t>
      </w:r>
      <w:r>
        <w:rPr>
          <w:rFonts w:ascii="Verdana" w:hAnsi="Verdana"/>
          <w:i/>
          <w:iCs/>
          <w:sz w:val="18"/>
          <w:szCs w:val="18"/>
        </w:rPr>
        <w:t xml:space="preserve">Sculpture and its Reproductions. </w:t>
      </w:r>
      <w:r>
        <w:rPr>
          <w:rFonts w:ascii="Verdana" w:hAnsi="Verdana"/>
          <w:sz w:val="18"/>
          <w:szCs w:val="18"/>
        </w:rPr>
        <w:t xml:space="preserve">London: Reaktion Books Ltd, pp. 61-78. </w:t>
      </w:r>
    </w:p>
    <w:p w14:paraId="40D71AD4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BEARD, M., 2000. Cast: between science and art. In: H. LAVAGNE and F. QUEYREL, eds, </w:t>
      </w:r>
      <w:r>
        <w:rPr>
          <w:rFonts w:ascii="Verdana" w:hAnsi="Verdana"/>
          <w:i/>
          <w:iCs/>
          <w:sz w:val="18"/>
          <w:szCs w:val="18"/>
        </w:rPr>
        <w:t xml:space="preserve">Les Moulage des sculptures antiques et l’histoire de l’archéologie: Actes du colloque international, Paris, 24 October 1997. </w:t>
      </w:r>
      <w:r>
        <w:rPr>
          <w:rFonts w:ascii="Verdana" w:hAnsi="Verdana"/>
          <w:sz w:val="18"/>
          <w:szCs w:val="18"/>
        </w:rPr>
        <w:t xml:space="preserve">Geneva: Libraire Droz, pp. 157-166. </w:t>
      </w:r>
    </w:p>
    <w:p w14:paraId="172D0B3D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BEVIVINO, M.A., 2015.  Two recently restored high cross replicas in the collection of the Royal Society of Antiquaries of Ireland’. </w:t>
      </w:r>
      <w:r>
        <w:rPr>
          <w:rFonts w:ascii="Verdana" w:hAnsi="Verdana"/>
          <w:i/>
          <w:iCs/>
          <w:sz w:val="18"/>
          <w:szCs w:val="18"/>
        </w:rPr>
        <w:t xml:space="preserve">Journal of the Royal Society of Antiquaries of Ireland, </w:t>
      </w:r>
      <w:r>
        <w:rPr>
          <w:rFonts w:ascii="Verdana" w:hAnsi="Verdana"/>
          <w:b/>
          <w:bCs/>
          <w:sz w:val="18"/>
          <w:szCs w:val="18"/>
        </w:rPr>
        <w:t>142-3</w:t>
      </w:r>
      <w:r>
        <w:rPr>
          <w:rFonts w:ascii="Verdana" w:hAnsi="Verdana"/>
          <w:sz w:val="18"/>
          <w:szCs w:val="18"/>
        </w:rPr>
        <w:t xml:space="preserve">, pp. xx-xx. </w:t>
      </w:r>
    </w:p>
    <w:p w14:paraId="3614DCEE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CAMPBELL, L., 2021. Flipping the script on colonial narratives: replicating Roman reliefs from the Antonine Wall. </w:t>
      </w:r>
      <w:r>
        <w:rPr>
          <w:rFonts w:ascii="Verdana" w:hAnsi="Verdana"/>
          <w:i/>
          <w:iCs/>
          <w:sz w:val="18"/>
          <w:szCs w:val="18"/>
        </w:rPr>
        <w:t xml:space="preserve">Public Archaeology, </w:t>
      </w:r>
      <w:r>
        <w:rPr>
          <w:rFonts w:ascii="Verdana" w:hAnsi="Verdana"/>
          <w:sz w:val="18"/>
          <w:szCs w:val="18"/>
        </w:rPr>
        <w:t xml:space="preserve">. </w:t>
      </w:r>
    </w:p>
    <w:p w14:paraId="596C7206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CULLEN, F., 2009. '"Museums with those goddesses": Bloom and the Dublin Plaster Casts Dublin. </w:t>
      </w:r>
      <w:r>
        <w:rPr>
          <w:rFonts w:ascii="Verdana" w:hAnsi="Verdana"/>
          <w:i/>
          <w:iCs/>
          <w:sz w:val="18"/>
          <w:szCs w:val="18"/>
        </w:rPr>
        <w:t xml:space="preserve">James Joyce Journal, </w:t>
      </w:r>
      <w:r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, pp. 24-38. </w:t>
      </w:r>
    </w:p>
    <w:p w14:paraId="305F28AC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CURTIS, N., 2007. "The original may yet be discovered": seven Bronze Age swords supposedly from Netherley, Kincardineshire. </w:t>
      </w:r>
      <w:r>
        <w:rPr>
          <w:rFonts w:ascii="Verdana" w:hAnsi="Verdana"/>
          <w:i/>
          <w:iCs/>
          <w:sz w:val="18"/>
          <w:szCs w:val="18"/>
        </w:rPr>
        <w:t xml:space="preserve">Proceedings of the Society of Antiquaries of Scotland, </w:t>
      </w:r>
      <w:r>
        <w:rPr>
          <w:rFonts w:ascii="Verdana" w:hAnsi="Verdana"/>
          <w:b/>
          <w:bCs/>
          <w:sz w:val="18"/>
          <w:szCs w:val="18"/>
        </w:rPr>
        <w:t>137</w:t>
      </w:r>
      <w:r>
        <w:rPr>
          <w:rFonts w:ascii="Verdana" w:hAnsi="Verdana"/>
          <w:sz w:val="18"/>
          <w:szCs w:val="18"/>
        </w:rPr>
        <w:t xml:space="preserve">, pp. 487-500. </w:t>
      </w:r>
    </w:p>
    <w:p w14:paraId="4DA815D1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DUVAL, M., SMITH, B., GAUCHON, C., MAYER, L. and MALGAT, C., 2020. “I have visited the Chauvet Cave”: the heritage experience of a rock art replica. </w:t>
      </w:r>
      <w:r>
        <w:rPr>
          <w:rFonts w:ascii="Verdana" w:hAnsi="Verdana"/>
          <w:i/>
          <w:iCs/>
          <w:sz w:val="18"/>
          <w:szCs w:val="18"/>
        </w:rPr>
        <w:t xml:space="preserve">International Journal of Heritage Studies, </w:t>
      </w:r>
      <w:r>
        <w:rPr>
          <w:rFonts w:ascii="Verdana" w:hAnsi="Verdana"/>
          <w:b/>
          <w:bCs/>
          <w:sz w:val="18"/>
          <w:szCs w:val="18"/>
        </w:rPr>
        <w:t>26</w:t>
      </w:r>
      <w:r>
        <w:rPr>
          <w:rFonts w:ascii="Verdana" w:hAnsi="Verdana"/>
          <w:sz w:val="18"/>
          <w:szCs w:val="18"/>
        </w:rPr>
        <w:t xml:space="preserve">(2), pp. 142-162. </w:t>
      </w:r>
    </w:p>
    <w:p w14:paraId="4459C9C5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EFFROS, B., 2012. </w:t>
      </w:r>
      <w:r>
        <w:rPr>
          <w:rFonts w:ascii="Verdana" w:hAnsi="Verdana"/>
          <w:i/>
          <w:iCs/>
          <w:sz w:val="18"/>
          <w:szCs w:val="18"/>
        </w:rPr>
        <w:t xml:space="preserve">Uncovering the Germanic Past. Merovingian Archaeology in France, 1830-1914. </w:t>
      </w:r>
      <w:r>
        <w:rPr>
          <w:rFonts w:ascii="Verdana" w:hAnsi="Verdana"/>
          <w:sz w:val="18"/>
          <w:szCs w:val="18"/>
        </w:rPr>
        <w:t xml:space="preserve">Oxford: Oxford University Press. </w:t>
      </w:r>
    </w:p>
    <w:p w14:paraId="439E520C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EFFROS, B., 2008. Selling archaeology and anthropology: early medieval artefacts at the Expositions universelles and the Wiener Weltausstellung, 1867-1900. </w:t>
      </w:r>
      <w:r>
        <w:rPr>
          <w:rFonts w:ascii="Verdana" w:hAnsi="Verdana"/>
          <w:i/>
          <w:iCs/>
          <w:sz w:val="18"/>
          <w:szCs w:val="18"/>
        </w:rPr>
        <w:t xml:space="preserve">Early Medieval Europe, </w:t>
      </w:r>
      <w:r>
        <w:rPr>
          <w:rFonts w:ascii="Verdana" w:hAnsi="Verdana"/>
          <w:b/>
          <w:bCs/>
          <w:sz w:val="18"/>
          <w:szCs w:val="18"/>
        </w:rPr>
        <w:t>16</w:t>
      </w:r>
      <w:r>
        <w:rPr>
          <w:rFonts w:ascii="Verdana" w:hAnsi="Verdana"/>
          <w:sz w:val="18"/>
          <w:szCs w:val="18"/>
        </w:rPr>
        <w:t xml:space="preserve">(1), pp. 23-48. </w:t>
      </w:r>
    </w:p>
    <w:p w14:paraId="2BBE7B24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EFFROS, B., 2005. Art of the 'Dark Ages'. Showing Merovingian artefacts in North American public and private collections. </w:t>
      </w:r>
      <w:r>
        <w:rPr>
          <w:rFonts w:ascii="Verdana" w:hAnsi="Verdana"/>
          <w:i/>
          <w:iCs/>
          <w:sz w:val="18"/>
          <w:szCs w:val="18"/>
        </w:rPr>
        <w:t xml:space="preserve">Journal of the History of Collections, </w:t>
      </w:r>
      <w:r>
        <w:rPr>
          <w:rFonts w:ascii="Verdana" w:hAnsi="Verdana"/>
          <w:b/>
          <w:bCs/>
          <w:sz w:val="18"/>
          <w:szCs w:val="18"/>
        </w:rPr>
        <w:t>17</w:t>
      </w:r>
      <w:r>
        <w:rPr>
          <w:rFonts w:ascii="Verdana" w:hAnsi="Verdana"/>
          <w:sz w:val="18"/>
          <w:szCs w:val="18"/>
        </w:rPr>
        <w:t xml:space="preserve">(1), pp. 85-113. </w:t>
      </w:r>
    </w:p>
    <w:p w14:paraId="4586D351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FAHLMAN, B., 1991. A Plaster of Paris Antiquity: Nineteenth-Century Cast Collections. </w:t>
      </w:r>
      <w:r>
        <w:rPr>
          <w:rFonts w:ascii="Verdana" w:hAnsi="Verdana"/>
          <w:i/>
          <w:iCs/>
          <w:sz w:val="18"/>
          <w:szCs w:val="18"/>
        </w:rPr>
        <w:t xml:space="preserve">Southeastern College Art Conference Review, </w:t>
      </w:r>
      <w:r>
        <w:rPr>
          <w:rFonts w:ascii="Verdana" w:hAnsi="Verdana"/>
          <w:b/>
          <w:bCs/>
          <w:sz w:val="18"/>
          <w:szCs w:val="18"/>
        </w:rPr>
        <w:t>12</w:t>
      </w:r>
      <w:r>
        <w:rPr>
          <w:rFonts w:ascii="Verdana" w:hAnsi="Verdana"/>
          <w:sz w:val="18"/>
          <w:szCs w:val="18"/>
        </w:rPr>
        <w:t xml:space="preserve">(1), pp. 1-9. </w:t>
      </w:r>
    </w:p>
    <w:p w14:paraId="6065AFF4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FEHLMANN, M., 2007. Casts &amp; connoisseurs: the early reception of the Elgin Marbles. </w:t>
      </w:r>
      <w:r>
        <w:rPr>
          <w:rFonts w:ascii="Verdana" w:hAnsi="Verdana"/>
          <w:i/>
          <w:iCs/>
          <w:sz w:val="18"/>
          <w:szCs w:val="18"/>
        </w:rPr>
        <w:t xml:space="preserve">Apollo, </w:t>
      </w:r>
      <w:r>
        <w:rPr>
          <w:rFonts w:ascii="Verdana" w:hAnsi="Verdana"/>
          <w:b/>
          <w:bCs/>
          <w:sz w:val="18"/>
          <w:szCs w:val="18"/>
        </w:rPr>
        <w:t>165.544</w:t>
      </w:r>
      <w:r>
        <w:rPr>
          <w:rFonts w:ascii="Verdana" w:hAnsi="Verdana"/>
          <w:sz w:val="18"/>
          <w:szCs w:val="18"/>
        </w:rPr>
        <w:t xml:space="preserve">, pp. chk. </w:t>
      </w:r>
    </w:p>
    <w:p w14:paraId="381C0233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FLOUR, I., 2014. Orientalism and the reality effect: Angkor at the universal expositions, 1867–1937. </w:t>
      </w:r>
      <w:r>
        <w:rPr>
          <w:rFonts w:ascii="Verdana" w:hAnsi="Verdana"/>
          <w:i/>
          <w:iCs/>
          <w:sz w:val="18"/>
          <w:szCs w:val="18"/>
        </w:rPr>
        <w:t xml:space="preserve">Getty Research Journal, </w:t>
      </w:r>
      <w:r>
        <w:rPr>
          <w:rFonts w:ascii="Verdana" w:hAnsi="Verdana"/>
          <w:b/>
          <w:bCs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, pp. 63-82. </w:t>
      </w:r>
    </w:p>
    <w:p w14:paraId="258D4136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E., KITTLER, T., MARCHAND, E. and PAYNE, E., eds, 2019. </w:t>
      </w:r>
      <w:r>
        <w:rPr>
          <w:rFonts w:ascii="Verdana" w:hAnsi="Verdana"/>
          <w:i/>
          <w:iCs/>
          <w:sz w:val="18"/>
          <w:szCs w:val="18"/>
        </w:rPr>
        <w:t xml:space="preserve">Sculpture Journal [Special edition on plaster casts]. 28:3. </w:t>
      </w:r>
      <w:r>
        <w:rPr>
          <w:rFonts w:ascii="Verdana" w:hAnsi="Verdana"/>
          <w:sz w:val="18"/>
          <w:szCs w:val="18"/>
        </w:rPr>
        <w:t xml:space="preserve">Liverpool: Liverpool University Press Online. </w:t>
      </w:r>
    </w:p>
    <w:p w14:paraId="370B7090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S., 2015. Early Victorian replicas of the St Andrews Sarcophagus and their legacy. </w:t>
      </w:r>
      <w:r>
        <w:rPr>
          <w:rFonts w:ascii="Verdana" w:hAnsi="Verdana"/>
          <w:i/>
          <w:iCs/>
          <w:sz w:val="18"/>
          <w:szCs w:val="18"/>
        </w:rPr>
        <w:t xml:space="preserve">History Scotland, </w:t>
      </w:r>
      <w:r>
        <w:rPr>
          <w:rFonts w:ascii="Verdana" w:hAnsi="Verdana"/>
          <w:b/>
          <w:bCs/>
          <w:sz w:val="18"/>
          <w:szCs w:val="18"/>
        </w:rPr>
        <w:t>15</w:t>
      </w:r>
      <w:r>
        <w:rPr>
          <w:rFonts w:ascii="Verdana" w:hAnsi="Verdana"/>
          <w:sz w:val="18"/>
          <w:szCs w:val="18"/>
        </w:rPr>
        <w:t xml:space="preserve">(4), pp. 32-37. </w:t>
      </w:r>
    </w:p>
    <w:p w14:paraId="4CEA03C7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2016. Expiscation! Disentangling the later biography of the St Andrews Sarcophagus. In: F. HUNTER and A. SHERIDAN, eds, </w:t>
      </w:r>
      <w:r>
        <w:rPr>
          <w:rFonts w:ascii="Verdana" w:hAnsi="Verdana"/>
          <w:i/>
          <w:iCs/>
          <w:sz w:val="18"/>
          <w:szCs w:val="18"/>
        </w:rPr>
        <w:t xml:space="preserve">Ancient Lives. Object, People and Place in Early Scotland. Essays for David V Clarke on his 70th Birthday. </w:t>
      </w:r>
      <w:r>
        <w:rPr>
          <w:rFonts w:ascii="Verdana" w:hAnsi="Verdana"/>
          <w:sz w:val="18"/>
          <w:szCs w:val="18"/>
        </w:rPr>
        <w:t xml:space="preserve">Leiden: Sidestone Press, pp. 165-186. </w:t>
      </w:r>
    </w:p>
    <w:p w14:paraId="489FBD5D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1998b. Discovery, recovery, context and display. In: S.M. FOSTER, ed, </w:t>
      </w:r>
      <w:r>
        <w:rPr>
          <w:rFonts w:ascii="Verdana" w:hAnsi="Verdana"/>
          <w:i/>
          <w:iCs/>
          <w:sz w:val="18"/>
          <w:szCs w:val="18"/>
        </w:rPr>
        <w:t xml:space="preserve">The St. Andrews Sarcophagus: A Pictish Masterpiece and its International Connections. </w:t>
      </w:r>
      <w:r>
        <w:rPr>
          <w:rFonts w:ascii="Verdana" w:hAnsi="Verdana"/>
          <w:sz w:val="18"/>
          <w:szCs w:val="18"/>
        </w:rPr>
        <w:t xml:space="preserve">Dublin: Four Courts Press, pp. 35-62. </w:t>
      </w:r>
    </w:p>
    <w:p w14:paraId="33306AFC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S.M., BLACKWELL, A. and GOLDBERG, M., 2014. The legacy of nineteenth-century replicas for object cultural biographies: lessons in duplication from 1830s Fife. </w:t>
      </w:r>
      <w:r>
        <w:rPr>
          <w:rFonts w:ascii="Verdana" w:hAnsi="Verdana"/>
          <w:i/>
          <w:iCs/>
          <w:sz w:val="18"/>
          <w:szCs w:val="18"/>
        </w:rPr>
        <w:t xml:space="preserve">Journal of Victorian Culture, </w:t>
      </w:r>
      <w:r>
        <w:rPr>
          <w:rFonts w:ascii="Verdana" w:hAnsi="Verdana"/>
          <w:b/>
          <w:bCs/>
          <w:sz w:val="18"/>
          <w:szCs w:val="18"/>
        </w:rPr>
        <w:t>19</w:t>
      </w:r>
      <w:r>
        <w:rPr>
          <w:rFonts w:ascii="Verdana" w:hAnsi="Verdana"/>
          <w:sz w:val="18"/>
          <w:szCs w:val="18"/>
        </w:rPr>
        <w:t xml:space="preserve">(2), pp. 137-160. </w:t>
      </w:r>
    </w:p>
    <w:p w14:paraId="638502FC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 and JONES, S., 2019a. Concrete and non-concrete: exploring the contemporary value and authenticity of historic replicas through an ethnographic study of the St John's Cross replica, Iona. </w:t>
      </w:r>
      <w:r>
        <w:rPr>
          <w:rFonts w:ascii="Verdana" w:hAnsi="Verdana"/>
          <w:i/>
          <w:iCs/>
          <w:sz w:val="18"/>
          <w:szCs w:val="18"/>
        </w:rPr>
        <w:t xml:space="preserve">International Journal of Heritage Studies, </w:t>
      </w:r>
      <w:r>
        <w:rPr>
          <w:rFonts w:ascii="Verdana" w:hAnsi="Verdana"/>
          <w:b/>
          <w:bCs/>
          <w:sz w:val="18"/>
          <w:szCs w:val="18"/>
        </w:rPr>
        <w:t>25</w:t>
      </w:r>
      <w:r>
        <w:rPr>
          <w:rFonts w:ascii="Verdana" w:hAnsi="Verdana"/>
          <w:sz w:val="18"/>
          <w:szCs w:val="18"/>
        </w:rPr>
        <w:t xml:space="preserve">(11), pp. 1169-1188. </w:t>
      </w:r>
    </w:p>
    <w:p w14:paraId="00D07BA8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 and JONES, S., 2008. Recovering the biography of the Hilton of Cadboll cross-slab. In: H. JAMES, I. HENDERSON, S.M. FOSTER and S. JONES, eds, </w:t>
      </w:r>
      <w:r>
        <w:rPr>
          <w:rFonts w:ascii="Verdana" w:hAnsi="Verdana"/>
          <w:i/>
          <w:iCs/>
          <w:sz w:val="18"/>
          <w:szCs w:val="18"/>
        </w:rPr>
        <w:t>A Fragmented Masterpiece. Recovering the Biography of the Hilton of Cadboll Pictish Cross-Slab. Available: &lt;</w:t>
      </w:r>
      <w:hyperlink r:id="rId7" w:tgtFrame="_blank" w:history="1">
        <w:r>
          <w:rPr>
            <w:rStyle w:val="Hyperlink"/>
            <w:rFonts w:ascii="Verdana" w:hAnsi="Verdana"/>
            <w:i/>
            <w:iCs/>
            <w:sz w:val="18"/>
            <w:szCs w:val="18"/>
          </w:rPr>
          <w:t>https://www.socantscot.org/product/a-fragmented-masterpiece/&gt;</w:t>
        </w:r>
      </w:hyperlink>
      <w:r>
        <w:rPr>
          <w:rFonts w:ascii="Verdana" w:hAnsi="Verdana"/>
          <w:i/>
          <w:iCs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Edinburgh: Society of Antiquaries of Scotland, pp. 205-284. </w:t>
      </w:r>
    </w:p>
    <w:p w14:paraId="5924840B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FOSTER, S.M. and JONES, S.J., 2020. </w:t>
      </w:r>
      <w:r>
        <w:rPr>
          <w:rFonts w:ascii="Verdana" w:hAnsi="Verdana"/>
          <w:i/>
          <w:iCs/>
          <w:sz w:val="18"/>
          <w:szCs w:val="18"/>
        </w:rPr>
        <w:t xml:space="preserve">My Life as a Replica: St John's Cross, Iona. </w:t>
      </w:r>
      <w:r>
        <w:rPr>
          <w:rFonts w:ascii="Verdana" w:hAnsi="Verdana"/>
          <w:sz w:val="18"/>
          <w:szCs w:val="18"/>
        </w:rPr>
        <w:t xml:space="preserve">Oxford: Windgather. </w:t>
      </w:r>
    </w:p>
    <w:p w14:paraId="68EA73AF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GLASGOW SCHOOL OF ART, 2019-last update, Visualising Laocoön... Available: </w:t>
      </w:r>
      <w:hyperlink r:id="rId8" w:tgtFrame="_blank" w:history="1">
        <w:r>
          <w:rPr>
            <w:rStyle w:val="Hyperlink"/>
            <w:rFonts w:ascii="Verdana" w:hAnsi="Verdana"/>
            <w:sz w:val="18"/>
            <w:szCs w:val="18"/>
          </w:rPr>
          <w:t>http://www.gsaarchives.net/2019/01/visualising-laocoon/</w:t>
        </w:r>
      </w:hyperlink>
      <w:r>
        <w:rPr>
          <w:rFonts w:ascii="Verdana" w:hAnsi="Verdana"/>
          <w:sz w:val="18"/>
          <w:szCs w:val="18"/>
        </w:rPr>
        <w:t xml:space="preserve"> [Mar/16, 2019]. </w:t>
      </w:r>
    </w:p>
    <w:p w14:paraId="0564F624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GOLDBERG, M., 2013. The curious case of the Norrie's Law hoard fakes. </w:t>
      </w:r>
      <w:r>
        <w:rPr>
          <w:rFonts w:ascii="Verdana" w:hAnsi="Verdana"/>
          <w:i/>
          <w:iCs/>
          <w:sz w:val="18"/>
          <w:szCs w:val="18"/>
        </w:rPr>
        <w:t xml:space="preserve">History Scotland, </w:t>
      </w:r>
      <w:r>
        <w:rPr>
          <w:rFonts w:ascii="Verdana" w:hAnsi="Verdana"/>
          <w:sz w:val="18"/>
          <w:szCs w:val="18"/>
        </w:rPr>
        <w:t xml:space="preserve">(13.6), pp. 12-13. </w:t>
      </w:r>
    </w:p>
    <w:p w14:paraId="0D437655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GUHA-THAKURTA, T., 2013. The production and reproduction of a monument: the many lives of the Sanchi </w:t>
      </w:r>
      <w:r>
        <w:rPr>
          <w:rFonts w:ascii="Verdana" w:hAnsi="Verdana"/>
          <w:i/>
          <w:iCs/>
          <w:sz w:val="18"/>
          <w:szCs w:val="18"/>
        </w:rPr>
        <w:t>Stupa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i/>
          <w:iCs/>
          <w:sz w:val="18"/>
          <w:szCs w:val="18"/>
        </w:rPr>
        <w:t xml:space="preserve">South Asian Studies, </w:t>
      </w:r>
      <w:r>
        <w:rPr>
          <w:rFonts w:ascii="Verdana" w:hAnsi="Verdana"/>
          <w:b/>
          <w:bCs/>
          <w:sz w:val="18"/>
          <w:szCs w:val="18"/>
        </w:rPr>
        <w:t>29</w:t>
      </w:r>
      <w:r>
        <w:rPr>
          <w:rFonts w:ascii="Verdana" w:hAnsi="Verdana"/>
          <w:sz w:val="18"/>
          <w:szCs w:val="18"/>
        </w:rPr>
        <w:t xml:space="preserve">(1), pp. 77-109. </w:t>
      </w:r>
    </w:p>
    <w:p w14:paraId="701F57A5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HENDERSON, A., 2016. Through Victorian eyes: re-assessing Elizabeth Wardle’s replica. In: A. HENDERSON and G.R. OWEN-CROCKER, eds, </w:t>
      </w:r>
      <w:r>
        <w:rPr>
          <w:rFonts w:ascii="Verdana" w:hAnsi="Verdana"/>
          <w:i/>
          <w:iCs/>
          <w:sz w:val="18"/>
          <w:szCs w:val="18"/>
        </w:rPr>
        <w:t xml:space="preserve">Making Sense of the Bayeux Tapestry: Readings and Reworkings. </w:t>
      </w:r>
      <w:r>
        <w:rPr>
          <w:rFonts w:ascii="Verdana" w:hAnsi="Verdana"/>
          <w:sz w:val="18"/>
          <w:szCs w:val="18"/>
        </w:rPr>
        <w:t xml:space="preserve">Manchester: Manchester University Press, . </w:t>
      </w:r>
    </w:p>
    <w:p w14:paraId="7D723AB1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HOBMA, H., O'DONNELL, D.P., KARKOV, K., FOSTER, S., GRAHAM, J., OSBORN, W., DEL TURCO, R.R., BROATCH, R., BROATCH, S., CALLIERI, M. and DELLEPIANE, M., 2016. Modern impact on the fabric of the Ruthwell Cross. Available at: </w:t>
      </w:r>
      <w:hyperlink r:id="rId9" w:tgtFrame="_blank" w:history="1">
        <w:r>
          <w:rPr>
            <w:rStyle w:val="Hyperlink"/>
            <w:rFonts w:ascii="Verdana" w:hAnsi="Verdana"/>
            <w:sz w:val="18"/>
            <w:szCs w:val="18"/>
          </w:rPr>
          <w:t>http://www.oenewsletter.org/OEN/issue/ruthwell.php#</w:t>
        </w:r>
      </w:hyperlink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i/>
          <w:iCs/>
          <w:sz w:val="18"/>
          <w:szCs w:val="18"/>
        </w:rPr>
        <w:t xml:space="preserve">Old English Newsletter, </w:t>
      </w:r>
      <w:r>
        <w:rPr>
          <w:rFonts w:ascii="Verdana" w:hAnsi="Verdana"/>
          <w:b/>
          <w:bCs/>
          <w:sz w:val="18"/>
          <w:szCs w:val="18"/>
        </w:rPr>
        <w:t>46</w:t>
      </w:r>
      <w:r>
        <w:rPr>
          <w:rFonts w:ascii="Verdana" w:hAnsi="Verdana"/>
          <w:sz w:val="18"/>
          <w:szCs w:val="18"/>
        </w:rPr>
        <w:t xml:space="preserve">(1),. </w:t>
      </w:r>
    </w:p>
    <w:p w14:paraId="22428BEB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HUGHES, A., 1997. Authority, authenticity and aura: Walter Benjamin and the case of Michelangelo. In: A. HUGHES and E. RANFFT, eds, </w:t>
      </w:r>
      <w:r>
        <w:rPr>
          <w:rFonts w:ascii="Verdana" w:hAnsi="Verdana"/>
          <w:i/>
          <w:iCs/>
          <w:sz w:val="18"/>
          <w:szCs w:val="18"/>
        </w:rPr>
        <w:t xml:space="preserve">Sculpture and its Reproductions . </w:t>
      </w:r>
      <w:r>
        <w:rPr>
          <w:rFonts w:ascii="Verdana" w:hAnsi="Verdana"/>
          <w:sz w:val="18"/>
          <w:szCs w:val="18"/>
        </w:rPr>
        <w:t xml:space="preserve">London: Reaktion Books Ltd, pp. 29-45. </w:t>
      </w:r>
    </w:p>
    <w:p w14:paraId="6DFE7456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JAMES, N., 2016. Replication for Chauvet Cave. </w:t>
      </w:r>
      <w:r>
        <w:rPr>
          <w:rFonts w:ascii="Verdana" w:hAnsi="Verdana"/>
          <w:i/>
          <w:iCs/>
          <w:sz w:val="18"/>
          <w:szCs w:val="18"/>
        </w:rPr>
        <w:t xml:space="preserve">Antiquity, </w:t>
      </w:r>
      <w:r>
        <w:rPr>
          <w:rFonts w:ascii="Verdana" w:hAnsi="Verdana"/>
          <w:b/>
          <w:bCs/>
          <w:sz w:val="18"/>
          <w:szCs w:val="18"/>
        </w:rPr>
        <w:t>90</w:t>
      </w:r>
      <w:r>
        <w:rPr>
          <w:rFonts w:ascii="Verdana" w:hAnsi="Verdana"/>
          <w:sz w:val="18"/>
          <w:szCs w:val="18"/>
        </w:rPr>
        <w:t xml:space="preserve">(350), pp. 519-524. </w:t>
      </w:r>
    </w:p>
    <w:p w14:paraId="55C1E966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JOY, J., 2002. Biography of a medal: people and the things they value. In: J. SCHOFIELD, W.G. JOHNSON and C.M. BECK, eds, </w:t>
      </w:r>
      <w:r>
        <w:rPr>
          <w:rFonts w:ascii="Verdana" w:hAnsi="Verdana"/>
          <w:i/>
          <w:iCs/>
          <w:sz w:val="18"/>
          <w:szCs w:val="18"/>
        </w:rPr>
        <w:t xml:space="preserve">Matériel Culture. The Archaeology of Twentieth Century Conflict. </w:t>
      </w:r>
      <w:r>
        <w:rPr>
          <w:rFonts w:ascii="Verdana" w:hAnsi="Verdana"/>
          <w:sz w:val="18"/>
          <w:szCs w:val="18"/>
        </w:rPr>
        <w:t xml:space="preserve">London and New York: Routledge, pp. 132-142. </w:t>
      </w:r>
    </w:p>
    <w:p w14:paraId="0B23C619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KAMASH, Z., 2017. ‘Postcard to Palmyra’: bringing the public into debates over post-conflict reconstruction in the Middle East. </w:t>
      </w:r>
      <w:r>
        <w:rPr>
          <w:rFonts w:ascii="Verdana" w:hAnsi="Verdana"/>
          <w:i/>
          <w:iCs/>
          <w:sz w:val="18"/>
          <w:szCs w:val="18"/>
        </w:rPr>
        <w:t xml:space="preserve">World Archaeology, </w:t>
      </w:r>
      <w:r>
        <w:rPr>
          <w:rFonts w:ascii="Verdana" w:hAnsi="Verdana"/>
          <w:b/>
          <w:bCs/>
          <w:sz w:val="18"/>
          <w:szCs w:val="18"/>
        </w:rPr>
        <w:t>49</w:t>
      </w:r>
      <w:r>
        <w:rPr>
          <w:rFonts w:ascii="Verdana" w:hAnsi="Verdana"/>
          <w:sz w:val="18"/>
          <w:szCs w:val="18"/>
        </w:rPr>
        <w:t xml:space="preserve">(5), pp. 608-622. </w:t>
      </w:r>
    </w:p>
    <w:p w14:paraId="767370F7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KOLDING, F.B., 2013. California calling — Denmark and the 1915 Panama Pacific International Exposition. </w:t>
      </w:r>
      <w:r>
        <w:rPr>
          <w:rFonts w:ascii="Verdana" w:hAnsi="Verdana"/>
          <w:i/>
          <w:iCs/>
          <w:sz w:val="18"/>
          <w:szCs w:val="18"/>
        </w:rPr>
        <w:t xml:space="preserve">Erhvervhistorisk Årbog, </w:t>
      </w:r>
      <w:r>
        <w:rPr>
          <w:rFonts w:ascii="Verdana" w:hAnsi="Verdana"/>
          <w:b/>
          <w:bCs/>
          <w:sz w:val="18"/>
          <w:szCs w:val="18"/>
        </w:rPr>
        <w:t>2013</w:t>
      </w:r>
      <w:r>
        <w:rPr>
          <w:rFonts w:ascii="Verdana" w:hAnsi="Verdana"/>
          <w:sz w:val="18"/>
          <w:szCs w:val="18"/>
        </w:rPr>
        <w:t xml:space="preserve">(1), pp. 12-32. </w:t>
      </w:r>
    </w:p>
    <w:p w14:paraId="45C1A34C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LAWRENCE, A.R., 2015. Preservation through replication: The Barnes Foundation</w:t>
      </w:r>
      <w:r>
        <w:rPr>
          <w:rFonts w:ascii="Verdana" w:hAnsi="Verdana"/>
          <w:sz w:val="18"/>
          <w:szCs w:val="18"/>
        </w:rPr>
        <w:br/>
        <w:t xml:space="preserve">. </w:t>
      </w:r>
      <w:r>
        <w:rPr>
          <w:rFonts w:ascii="Verdana" w:hAnsi="Verdana"/>
          <w:i/>
          <w:iCs/>
          <w:sz w:val="18"/>
          <w:szCs w:val="18"/>
        </w:rPr>
        <w:t xml:space="preserve">Future Anterior, </w:t>
      </w:r>
      <w:r>
        <w:rPr>
          <w:rFonts w:ascii="Verdana" w:hAnsi="Verdana"/>
          <w:b/>
          <w:bCs/>
          <w:sz w:val="18"/>
          <w:szCs w:val="18"/>
        </w:rPr>
        <w:t>12</w:t>
      </w:r>
      <w:r>
        <w:rPr>
          <w:rFonts w:ascii="Verdana" w:hAnsi="Verdana"/>
          <w:sz w:val="18"/>
          <w:szCs w:val="18"/>
        </w:rPr>
        <w:t xml:space="preserve">(1), pp. 1-15. </w:t>
      </w:r>
    </w:p>
    <w:p w14:paraId="30A28648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LEAHY, H.R., 2011. 'Fix'd statue on the pedestal of Scorn': the politics and poetics of displaying the Parthenon Marbles in Athens and London. In: P. BONAVENUTRA and A. JONES, eds, </w:t>
      </w:r>
      <w:r>
        <w:rPr>
          <w:rFonts w:ascii="Verdana" w:hAnsi="Verdana"/>
          <w:i/>
          <w:iCs/>
          <w:sz w:val="18"/>
          <w:szCs w:val="18"/>
        </w:rPr>
        <w:t xml:space="preserve">Sculpture and Archaeology. </w:t>
      </w:r>
      <w:r>
        <w:rPr>
          <w:rFonts w:ascii="Verdana" w:hAnsi="Verdana"/>
          <w:sz w:val="18"/>
          <w:szCs w:val="18"/>
        </w:rPr>
        <w:t xml:space="preserve">Farnham: Ashgate, pp. 179-195. </w:t>
      </w:r>
    </w:p>
    <w:p w14:paraId="660652AB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LENDING, M., 2014. “Traveling portals”. In: T. ARRHENIUS, M. LENDING, W. MILLER and J.M. MCGOWAN, eds, </w:t>
      </w:r>
      <w:r>
        <w:rPr>
          <w:rFonts w:ascii="Verdana" w:hAnsi="Verdana"/>
          <w:i/>
          <w:iCs/>
          <w:sz w:val="18"/>
          <w:szCs w:val="18"/>
        </w:rPr>
        <w:t>Place and Displacement: Exhibiting Architecture</w:t>
      </w:r>
      <w:r>
        <w:rPr>
          <w:rFonts w:ascii="Verdana" w:hAnsi="Verdana"/>
          <w:i/>
          <w:iCs/>
          <w:sz w:val="18"/>
          <w:szCs w:val="18"/>
        </w:rPr>
        <w:br/>
        <w:t xml:space="preserve">. </w:t>
      </w:r>
      <w:r>
        <w:rPr>
          <w:rFonts w:ascii="Verdana" w:hAnsi="Verdana"/>
          <w:sz w:val="18"/>
          <w:szCs w:val="18"/>
        </w:rPr>
        <w:t xml:space="preserve">Zurich: Lars Müller Publishers, pp. 197-212. </w:t>
      </w:r>
    </w:p>
    <w:p w14:paraId="1B9E5426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LESLIE, F., 2004. Changing attitudes towards architectural models in the Museums at South Kensington. </w:t>
      </w:r>
      <w:r>
        <w:rPr>
          <w:rFonts w:ascii="Verdana" w:hAnsi="Verdana"/>
          <w:i/>
          <w:iCs/>
          <w:sz w:val="18"/>
          <w:szCs w:val="18"/>
        </w:rPr>
        <w:t xml:space="preserve">Architectural History, </w:t>
      </w:r>
      <w:r>
        <w:rPr>
          <w:rFonts w:ascii="Verdana" w:hAnsi="Verdana"/>
          <w:b/>
          <w:bCs/>
          <w:sz w:val="18"/>
          <w:szCs w:val="18"/>
        </w:rPr>
        <w:t>47</w:t>
      </w:r>
      <w:r>
        <w:rPr>
          <w:rFonts w:ascii="Verdana" w:hAnsi="Verdana"/>
          <w:sz w:val="18"/>
          <w:szCs w:val="18"/>
        </w:rPr>
        <w:t xml:space="preserve">, pp. 159-200. </w:t>
      </w:r>
    </w:p>
    <w:p w14:paraId="240EEA1B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MCENCHROE WILLIAMS, M., 2001. Constructing the Market Cross at Tuam: the role of cultural patriotism in the study of Irish high crosses. In: C. HOURIHANE, ed, </w:t>
      </w:r>
      <w:r>
        <w:rPr>
          <w:rFonts w:ascii="Verdana" w:hAnsi="Verdana"/>
          <w:i/>
          <w:iCs/>
          <w:sz w:val="18"/>
          <w:szCs w:val="18"/>
        </w:rPr>
        <w:t xml:space="preserve">From Ireland Coming. Irish Art from the Early Christian to the Late Gothic Period and its European Context. </w:t>
      </w:r>
      <w:r>
        <w:rPr>
          <w:rFonts w:ascii="Verdana" w:hAnsi="Verdana"/>
          <w:sz w:val="18"/>
          <w:szCs w:val="18"/>
        </w:rPr>
        <w:t xml:space="preserve">Princeton: Princeton University Press, pp. 141-160. </w:t>
      </w:r>
    </w:p>
    <w:p w14:paraId="6B37DF67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MCNUTT, J.K., 1990. Plaster Casts after antique sculpture: their role in the elevation of public taste and in American art instruction. </w:t>
      </w:r>
      <w:r>
        <w:rPr>
          <w:rFonts w:ascii="Verdana" w:hAnsi="Verdana"/>
          <w:i/>
          <w:iCs/>
          <w:sz w:val="18"/>
          <w:szCs w:val="18"/>
        </w:rPr>
        <w:t xml:space="preserve">Studies in Art Education, </w:t>
      </w:r>
      <w:r>
        <w:rPr>
          <w:rFonts w:ascii="Verdana" w:hAnsi="Verdana"/>
          <w:b/>
          <w:bCs/>
          <w:sz w:val="18"/>
          <w:szCs w:val="18"/>
        </w:rPr>
        <w:t>31</w:t>
      </w:r>
      <w:r>
        <w:rPr>
          <w:rFonts w:ascii="Verdana" w:hAnsi="Verdana"/>
          <w:sz w:val="18"/>
          <w:szCs w:val="18"/>
        </w:rPr>
        <w:t xml:space="preserve">(3), pp. pp. 158-167. </w:t>
      </w:r>
    </w:p>
    <w:p w14:paraId="59826B33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METROPOLITAN MUSEUM OF ART, 1908. Reproductions of Irish antiquities. </w:t>
      </w:r>
      <w:r>
        <w:rPr>
          <w:rFonts w:ascii="Verdana" w:hAnsi="Verdana"/>
          <w:i/>
          <w:iCs/>
          <w:sz w:val="18"/>
          <w:szCs w:val="18"/>
        </w:rPr>
        <w:t xml:space="preserve">The Metropolitan Museum of Art Bulletin, </w:t>
      </w:r>
      <w:r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(3), pp. 51-52. </w:t>
      </w:r>
    </w:p>
    <w:p w14:paraId="7B577C3C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MORTIMER, P. and POLLINGTON, S., 2013. </w:t>
      </w:r>
      <w:r>
        <w:rPr>
          <w:rFonts w:ascii="Verdana" w:hAnsi="Verdana"/>
          <w:i/>
          <w:iCs/>
          <w:sz w:val="18"/>
          <w:szCs w:val="18"/>
        </w:rPr>
        <w:t xml:space="preserve">Remaking the Sutton Hoo Stone. The Ansell-Roper Replica and its Context. </w:t>
      </w:r>
      <w:r>
        <w:rPr>
          <w:rFonts w:ascii="Verdana" w:hAnsi="Verdana"/>
          <w:sz w:val="18"/>
          <w:szCs w:val="18"/>
        </w:rPr>
        <w:t xml:space="preserve">Anglo-Saxon Books. </w:t>
      </w:r>
    </w:p>
    <w:p w14:paraId="6645FB89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MUIR, C., 2010. Scanning the Dunadd carvings. </w:t>
      </w:r>
      <w:r>
        <w:rPr>
          <w:rFonts w:ascii="Verdana" w:hAnsi="Verdana"/>
          <w:i/>
          <w:iCs/>
          <w:sz w:val="18"/>
          <w:szCs w:val="18"/>
        </w:rPr>
        <w:t xml:space="preserve">Focus, </w:t>
      </w:r>
      <w:r>
        <w:rPr>
          <w:rFonts w:ascii="Verdana" w:hAnsi="Verdana"/>
          <w:sz w:val="18"/>
          <w:szCs w:val="18"/>
        </w:rPr>
        <w:t xml:space="preserve">, pp. 28-31. </w:t>
      </w:r>
    </w:p>
    <w:p w14:paraId="25CFACC9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NICHOLS, K. and TURNER, S.V., eds, 2017. </w:t>
      </w:r>
      <w:r>
        <w:rPr>
          <w:rFonts w:ascii="Verdana" w:hAnsi="Verdana"/>
          <w:i/>
          <w:iCs/>
          <w:sz w:val="18"/>
          <w:szCs w:val="18"/>
        </w:rPr>
        <w:t xml:space="preserve">After 1851: The Material and Visual Cultures of the Crystal Palace at Sydenham. </w:t>
      </w:r>
      <w:r>
        <w:rPr>
          <w:rFonts w:ascii="Verdana" w:hAnsi="Verdana"/>
          <w:sz w:val="18"/>
          <w:szCs w:val="18"/>
        </w:rPr>
        <w:t xml:space="preserve">Manchester: Manchester University Press. </w:t>
      </w:r>
    </w:p>
    <w:p w14:paraId="2B2451B8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PAYNE, E., 2019. 3D imaging of the Parthenon sculptures: an assessment of the archaeological value of nineteenth-century plaster casts. </w:t>
      </w:r>
      <w:r>
        <w:rPr>
          <w:rFonts w:ascii="Verdana" w:hAnsi="Verdana"/>
          <w:i/>
          <w:iCs/>
          <w:sz w:val="18"/>
          <w:szCs w:val="18"/>
        </w:rPr>
        <w:t xml:space="preserve">Antiquity, </w:t>
      </w:r>
      <w:r>
        <w:rPr>
          <w:rFonts w:ascii="Verdana" w:hAnsi="Verdana"/>
          <w:b/>
          <w:bCs/>
          <w:sz w:val="18"/>
          <w:szCs w:val="18"/>
        </w:rPr>
        <w:t>93</w:t>
      </w:r>
      <w:r>
        <w:rPr>
          <w:rFonts w:ascii="Verdana" w:hAnsi="Verdana"/>
          <w:sz w:val="18"/>
          <w:szCs w:val="18"/>
        </w:rPr>
        <w:t xml:space="preserve">(372), pp. 1625-1642. </w:t>
      </w:r>
    </w:p>
    <w:p w14:paraId="2B5FCA40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PAYNE, E.M., 2021. </w:t>
      </w:r>
      <w:r>
        <w:rPr>
          <w:rFonts w:ascii="Verdana" w:hAnsi="Verdana"/>
          <w:i/>
          <w:iCs/>
          <w:sz w:val="18"/>
          <w:szCs w:val="18"/>
        </w:rPr>
        <w:t xml:space="preserve">Casting the Parthenon Sculptures from the Eighteenth Century to the Digital Age. </w:t>
      </w:r>
      <w:r>
        <w:rPr>
          <w:rFonts w:ascii="Verdana" w:hAnsi="Verdana"/>
          <w:sz w:val="18"/>
          <w:szCs w:val="18"/>
        </w:rPr>
        <w:t xml:space="preserve">London: Bloomsbury Press. </w:t>
      </w:r>
    </w:p>
    <w:p w14:paraId="14DEBAE4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PLATT, V., 2006. Making an impression: replication and the ontology of the Graeco-Roman seal stone. </w:t>
      </w:r>
      <w:r>
        <w:rPr>
          <w:rFonts w:ascii="Verdana" w:hAnsi="Verdana"/>
          <w:i/>
          <w:iCs/>
          <w:sz w:val="18"/>
          <w:szCs w:val="18"/>
        </w:rPr>
        <w:t xml:space="preserve">Art History, </w:t>
      </w:r>
      <w:r>
        <w:rPr>
          <w:rFonts w:ascii="Verdana" w:hAnsi="Verdana"/>
          <w:b/>
          <w:bCs/>
          <w:sz w:val="18"/>
          <w:szCs w:val="18"/>
        </w:rPr>
        <w:t>29</w:t>
      </w:r>
      <w:r>
        <w:rPr>
          <w:rFonts w:ascii="Verdana" w:hAnsi="Verdana"/>
          <w:sz w:val="18"/>
          <w:szCs w:val="18"/>
        </w:rPr>
        <w:t xml:space="preserve">(2), pp. 233-257. </w:t>
      </w:r>
    </w:p>
    <w:p w14:paraId="3FB474CD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SALIOT, A.-., 2015. </w:t>
      </w:r>
      <w:r>
        <w:rPr>
          <w:rFonts w:ascii="Verdana" w:hAnsi="Verdana"/>
          <w:i/>
          <w:iCs/>
          <w:sz w:val="18"/>
          <w:szCs w:val="18"/>
        </w:rPr>
        <w:t xml:space="preserve">The Drowned Muse: Casting the Unknown Woman across the Tides of Modernity. </w:t>
      </w:r>
      <w:r>
        <w:rPr>
          <w:rFonts w:ascii="Verdana" w:hAnsi="Verdana"/>
          <w:sz w:val="18"/>
          <w:szCs w:val="18"/>
        </w:rPr>
        <w:t xml:space="preserve">Oxford: Oxford University Press. </w:t>
      </w:r>
    </w:p>
    <w:p w14:paraId="08F1AA40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SHEN, H., 2018. </w:t>
      </w:r>
      <w:r>
        <w:rPr>
          <w:rFonts w:ascii="Verdana" w:hAnsi="Verdana"/>
          <w:i/>
          <w:iCs/>
          <w:sz w:val="18"/>
          <w:szCs w:val="18"/>
        </w:rPr>
        <w:t xml:space="preserve">Authentic Replicas: Buddhist Art in Medieval China. </w:t>
      </w:r>
      <w:r>
        <w:rPr>
          <w:rFonts w:ascii="Verdana" w:hAnsi="Verdana"/>
          <w:sz w:val="18"/>
          <w:szCs w:val="18"/>
        </w:rPr>
        <w:t xml:space="preserve">CHK: University of Hawai'i Press. </w:t>
      </w:r>
    </w:p>
    <w:p w14:paraId="3A1D218E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STORY, J. and BAILEY, R.N., 2015. The skull of Bede. </w:t>
      </w:r>
      <w:r>
        <w:rPr>
          <w:rFonts w:ascii="Verdana" w:hAnsi="Verdana"/>
          <w:i/>
          <w:iCs/>
          <w:sz w:val="18"/>
          <w:szCs w:val="18"/>
        </w:rPr>
        <w:t xml:space="preserve">The Antiquaries Journal, </w:t>
      </w:r>
      <w:r>
        <w:rPr>
          <w:rFonts w:ascii="Verdana" w:hAnsi="Verdana"/>
          <w:b/>
          <w:bCs/>
          <w:sz w:val="18"/>
          <w:szCs w:val="18"/>
        </w:rPr>
        <w:t>95</w:t>
      </w:r>
      <w:r>
        <w:rPr>
          <w:rFonts w:ascii="Verdana" w:hAnsi="Verdana"/>
          <w:sz w:val="18"/>
          <w:szCs w:val="18"/>
        </w:rPr>
        <w:t xml:space="preserve">, pp. 325-350. </w:t>
      </w:r>
    </w:p>
    <w:p w14:paraId="0A9D294B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TAYLOR, M.A. and CLARK, R.D., 2016. Ichthyosaurs from the lower lias (Lower Jurassic) of Banwell, Somerset. </w:t>
      </w:r>
      <w:r>
        <w:rPr>
          <w:rFonts w:ascii="Verdana" w:hAnsi="Verdana"/>
          <w:i/>
          <w:iCs/>
          <w:sz w:val="18"/>
          <w:szCs w:val="18"/>
        </w:rPr>
        <w:t xml:space="preserve">Geoscience in South-West England, </w:t>
      </w:r>
      <w:r>
        <w:rPr>
          <w:rFonts w:ascii="Verdana" w:hAnsi="Verdana"/>
          <w:b/>
          <w:bCs/>
          <w:sz w:val="18"/>
          <w:szCs w:val="18"/>
        </w:rPr>
        <w:t>14</w:t>
      </w:r>
      <w:r>
        <w:rPr>
          <w:rFonts w:ascii="Verdana" w:hAnsi="Verdana"/>
          <w:sz w:val="18"/>
          <w:szCs w:val="18"/>
        </w:rPr>
        <w:t xml:space="preserve">, pp. 59-71. </w:t>
      </w:r>
    </w:p>
    <w:p w14:paraId="4A45DA84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WADE, R., 2014. The production and display of Domenico Brucciani’s plaster cast of Hubert Le Sueur’s equestrian statue of Charles I. </w:t>
      </w:r>
      <w:r>
        <w:rPr>
          <w:rFonts w:ascii="Verdana" w:hAnsi="Verdana"/>
          <w:i/>
          <w:iCs/>
          <w:sz w:val="18"/>
          <w:szCs w:val="18"/>
        </w:rPr>
        <w:t xml:space="preserve">Sculpture Journal, </w:t>
      </w:r>
      <w:r>
        <w:rPr>
          <w:rFonts w:ascii="Verdana" w:hAnsi="Verdana"/>
          <w:b/>
          <w:bCs/>
          <w:sz w:val="18"/>
          <w:szCs w:val="18"/>
        </w:rPr>
        <w:t>23</w:t>
      </w:r>
      <w:r>
        <w:rPr>
          <w:rFonts w:ascii="Verdana" w:hAnsi="Verdana"/>
          <w:sz w:val="18"/>
          <w:szCs w:val="18"/>
        </w:rPr>
        <w:t xml:space="preserve">(2), pp. 250-255. </w:t>
      </w:r>
    </w:p>
    <w:p w14:paraId="74DCE399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WHARTON, A.J., 2006. </w:t>
      </w:r>
      <w:r>
        <w:rPr>
          <w:rFonts w:ascii="Verdana" w:hAnsi="Verdana"/>
          <w:i/>
          <w:iCs/>
          <w:sz w:val="18"/>
          <w:szCs w:val="18"/>
        </w:rPr>
        <w:t xml:space="preserve">Selling Jerusalem: Relics, Replicas, Theme Parks. </w:t>
      </w:r>
      <w:r>
        <w:rPr>
          <w:rFonts w:ascii="Verdana" w:hAnsi="Verdana"/>
          <w:sz w:val="18"/>
          <w:szCs w:val="18"/>
        </w:rPr>
        <w:t xml:space="preserve">Chicago and London: University of Chicago Press. </w:t>
      </w:r>
    </w:p>
    <w:p w14:paraId="59146921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WILLERS, D., 1984. Ergäzungen an Fauvels Gipsabgüssen vom Parthenonfries. In: E. BERGER, ed, </w:t>
      </w:r>
      <w:r>
        <w:rPr>
          <w:rFonts w:ascii="Verdana" w:hAnsi="Verdana"/>
          <w:i/>
          <w:iCs/>
          <w:sz w:val="18"/>
          <w:szCs w:val="18"/>
        </w:rPr>
        <w:t xml:space="preserve">Parthenon-Kongress Basel, 2 vols. </w:t>
      </w:r>
      <w:r>
        <w:rPr>
          <w:rFonts w:ascii="Verdana" w:hAnsi="Verdana"/>
          <w:sz w:val="18"/>
          <w:szCs w:val="18"/>
        </w:rPr>
        <w:t xml:space="preserve">Mainz: xx, pp. xx-xx. </w:t>
      </w:r>
    </w:p>
    <w:p w14:paraId="7F11FD43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WILLIAMS, M.A., 2012. </w:t>
      </w:r>
      <w:r>
        <w:rPr>
          <w:rFonts w:ascii="Verdana" w:hAnsi="Verdana"/>
          <w:i/>
          <w:iCs/>
          <w:sz w:val="18"/>
          <w:szCs w:val="18"/>
        </w:rPr>
        <w:t xml:space="preserve">Icons of Irishness from the Middle Ages to the Modern World. </w:t>
      </w:r>
      <w:r>
        <w:rPr>
          <w:rFonts w:ascii="Verdana" w:hAnsi="Verdana"/>
          <w:sz w:val="18"/>
          <w:szCs w:val="18"/>
        </w:rPr>
        <w:t xml:space="preserve">New York: Palgrave Macmillan. </w:t>
      </w:r>
    </w:p>
    <w:p w14:paraId="702DF137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WOOD, C.S., 2008. </w:t>
      </w:r>
      <w:r>
        <w:rPr>
          <w:rFonts w:ascii="Verdana" w:hAnsi="Verdana"/>
          <w:i/>
          <w:iCs/>
          <w:sz w:val="18"/>
          <w:szCs w:val="18"/>
        </w:rPr>
        <w:t xml:space="preserve">Forgery, Replica, Fiction: Temporalities of German Renaissance Art. </w:t>
      </w:r>
      <w:r>
        <w:rPr>
          <w:rFonts w:ascii="Verdana" w:hAnsi="Verdana"/>
          <w:sz w:val="18"/>
          <w:szCs w:val="18"/>
        </w:rPr>
        <w:t xml:space="preserve">Chicago: University of Chicago Press. </w:t>
      </w:r>
    </w:p>
    <w:p w14:paraId="2D8BD12E" w14:textId="77777777" w:rsidR="00CD5EB2" w:rsidRDefault="00CD5EB2" w:rsidP="00CD5EB2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WYSE JACKSON, P.N., 2004. Thomas Hawkins, Lord Cole, William Sollas and all: casts of Lower Jurassic marine reptiles in the Geological Museum, Trinity College, Dublin, Ireland. </w:t>
      </w:r>
      <w:r>
        <w:rPr>
          <w:rFonts w:ascii="Verdana" w:hAnsi="Verdana"/>
          <w:i/>
          <w:iCs/>
          <w:sz w:val="18"/>
          <w:szCs w:val="18"/>
        </w:rPr>
        <w:t xml:space="preserve">The Geological Curator, </w:t>
      </w:r>
      <w:r>
        <w:rPr>
          <w:rFonts w:ascii="Verdana" w:hAnsi="Verdana"/>
          <w:b/>
          <w:bCs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(1), pp. 11-18. </w:t>
      </w:r>
    </w:p>
    <w:p w14:paraId="7E8CFB8F" w14:textId="77777777" w:rsidR="008A4478" w:rsidRDefault="008A4478" w:rsidP="008A4478"/>
    <w:p w14:paraId="019BA77F" w14:textId="77777777" w:rsidR="00D557F6" w:rsidRDefault="00D557F6" w:rsidP="008A4478"/>
    <w:p w14:paraId="4B756111" w14:textId="77777777" w:rsidR="00D557F6" w:rsidRPr="008A4478" w:rsidRDefault="00D557F6" w:rsidP="008A4478"/>
    <w:sectPr w:rsidR="00D557F6" w:rsidRPr="008A447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DDEE" w14:textId="77777777" w:rsidR="00B420DA" w:rsidRDefault="00B420DA" w:rsidP="008A4478">
      <w:pPr>
        <w:spacing w:after="0" w:line="240" w:lineRule="auto"/>
      </w:pPr>
      <w:r>
        <w:separator/>
      </w:r>
    </w:p>
  </w:endnote>
  <w:endnote w:type="continuationSeparator" w:id="0">
    <w:p w14:paraId="2D62E11E" w14:textId="77777777" w:rsidR="00B420DA" w:rsidRDefault="00B420DA" w:rsidP="008A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602481"/>
      <w:docPartObj>
        <w:docPartGallery w:val="Page Numbers (Bottom of Page)"/>
        <w:docPartUnique/>
      </w:docPartObj>
    </w:sdtPr>
    <w:sdtEndPr>
      <w:rPr>
        <w:b/>
        <w:noProof/>
        <w:color w:val="1F4E79" w:themeColor="accent1" w:themeShade="80"/>
      </w:rPr>
    </w:sdtEndPr>
    <w:sdtContent>
      <w:p w14:paraId="24425632" w14:textId="78793BB1" w:rsidR="008A4478" w:rsidRPr="001309A3" w:rsidRDefault="001F2E31" w:rsidP="001309A3">
        <w:pPr>
          <w:pStyle w:val="Footer"/>
          <w:jc w:val="right"/>
        </w:pPr>
        <w:r>
          <w:t xml:space="preserve"> </w:t>
        </w:r>
        <w:r w:rsidR="008A4478" w:rsidRPr="008A4478">
          <w:rPr>
            <w:b/>
            <w:color w:val="1F4E79" w:themeColor="accent1" w:themeShade="80"/>
          </w:rPr>
          <w:fldChar w:fldCharType="begin"/>
        </w:r>
        <w:r w:rsidR="008A4478" w:rsidRPr="008A4478">
          <w:rPr>
            <w:b/>
            <w:color w:val="1F4E79" w:themeColor="accent1" w:themeShade="80"/>
          </w:rPr>
          <w:instrText xml:space="preserve"> PAGE   \* MERGEFORMAT </w:instrText>
        </w:r>
        <w:r w:rsidR="008A4478" w:rsidRPr="008A4478">
          <w:rPr>
            <w:b/>
            <w:color w:val="1F4E79" w:themeColor="accent1" w:themeShade="80"/>
          </w:rPr>
          <w:fldChar w:fldCharType="separate"/>
        </w:r>
        <w:r w:rsidR="00D557F6">
          <w:rPr>
            <w:b/>
            <w:noProof/>
            <w:color w:val="1F4E79" w:themeColor="accent1" w:themeShade="80"/>
          </w:rPr>
          <w:t>1</w:t>
        </w:r>
        <w:r w:rsidR="008A4478" w:rsidRPr="008A4478">
          <w:rPr>
            <w:b/>
            <w:noProof/>
            <w:color w:val="1F4E79" w:themeColor="accent1" w:themeShade="80"/>
          </w:rPr>
          <w:fldChar w:fldCharType="end"/>
        </w:r>
      </w:p>
    </w:sdtContent>
  </w:sdt>
  <w:p w14:paraId="1FF17928" w14:textId="46CD0E4B" w:rsidR="008A4478" w:rsidRPr="001F2E31" w:rsidRDefault="001F2E31" w:rsidP="008A4478">
    <w:pPr>
      <w:pStyle w:val="Footer"/>
      <w:jc w:val="right"/>
      <w:rPr>
        <w:color w:val="1F3864" w:themeColor="accent5" w:themeShade="80"/>
      </w:rPr>
    </w:pPr>
    <w:r w:rsidRPr="001F2E31">
      <w:rPr>
        <w:b/>
        <w:bCs/>
        <w:color w:val="1F3864" w:themeColor="accent5" w:themeShade="80"/>
      </w:rPr>
      <w:t>Last revised</w:t>
    </w:r>
    <w:r w:rsidRPr="001F2E31">
      <w:rPr>
        <w:color w:val="1F3864" w:themeColor="accent5" w:themeShade="80"/>
      </w:rPr>
      <w:t xml:space="preserve"> </w:t>
    </w:r>
    <w:r w:rsidRPr="001F2E31">
      <w:rPr>
        <w:color w:val="1F3864" w:themeColor="accent5" w:themeShade="80"/>
      </w:rPr>
      <w:fldChar w:fldCharType="begin"/>
    </w:r>
    <w:r w:rsidRPr="001F2E31">
      <w:rPr>
        <w:color w:val="1F3864" w:themeColor="accent5" w:themeShade="80"/>
      </w:rPr>
      <w:instrText xml:space="preserve"> DATE  \@ "dd MMMM yyyy"  \* MERGEFORMAT </w:instrText>
    </w:r>
    <w:r w:rsidRPr="001F2E31">
      <w:rPr>
        <w:color w:val="1F3864" w:themeColor="accent5" w:themeShade="80"/>
      </w:rPr>
      <w:fldChar w:fldCharType="separate"/>
    </w:r>
    <w:r w:rsidR="001A05C4">
      <w:rPr>
        <w:noProof/>
        <w:color w:val="1F3864" w:themeColor="accent5" w:themeShade="80"/>
      </w:rPr>
      <w:t>13 November 2022</w:t>
    </w:r>
    <w:r w:rsidRPr="001F2E31">
      <w:rPr>
        <w:color w:val="1F3864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4294" w14:textId="77777777" w:rsidR="00B420DA" w:rsidRDefault="00B420DA" w:rsidP="008A4478">
      <w:pPr>
        <w:spacing w:after="0" w:line="240" w:lineRule="auto"/>
      </w:pPr>
      <w:r>
        <w:separator/>
      </w:r>
    </w:p>
  </w:footnote>
  <w:footnote w:type="continuationSeparator" w:id="0">
    <w:p w14:paraId="37804EF2" w14:textId="77777777" w:rsidR="00B420DA" w:rsidRDefault="00B420DA" w:rsidP="008A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5297" w14:textId="66E0C0C0" w:rsidR="008A4478" w:rsidRPr="001F2E31" w:rsidRDefault="001F2E31" w:rsidP="008A4478">
    <w:pPr>
      <w:pStyle w:val="Header"/>
      <w:jc w:val="right"/>
      <w:rPr>
        <w:bCs/>
        <w:color w:val="1F4E79" w:themeColor="accent1" w:themeShade="80"/>
        <w:szCs w:val="24"/>
      </w:rPr>
    </w:pPr>
    <w:r w:rsidRPr="001F2E31">
      <w:rPr>
        <w:bCs/>
        <w:color w:val="1F4E79" w:themeColor="accent1" w:themeShade="80"/>
        <w:szCs w:val="24"/>
      </w:rPr>
      <w:t xml:space="preserve">Reading list sourced from </w:t>
    </w:r>
    <w:r w:rsidRPr="001F2E31">
      <w:rPr>
        <w:b/>
        <w:color w:val="1F4E79" w:themeColor="accent1" w:themeShade="80"/>
        <w:szCs w:val="24"/>
      </w:rPr>
      <w:t>www.replicas.stir.ac.uk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zNDSyMDExNjOyNDBX0lEKTi0uzszPAykwrAUAWudX+CwAAAA="/>
  </w:docVars>
  <w:rsids>
    <w:rsidRoot w:val="008A4478"/>
    <w:rsid w:val="000047E6"/>
    <w:rsid w:val="00011A9F"/>
    <w:rsid w:val="00023314"/>
    <w:rsid w:val="00034FD6"/>
    <w:rsid w:val="00037E8F"/>
    <w:rsid w:val="00040ADE"/>
    <w:rsid w:val="00044C8A"/>
    <w:rsid w:val="0007187A"/>
    <w:rsid w:val="00090128"/>
    <w:rsid w:val="00090564"/>
    <w:rsid w:val="000A34BF"/>
    <w:rsid w:val="000B641B"/>
    <w:rsid w:val="00100448"/>
    <w:rsid w:val="0010551F"/>
    <w:rsid w:val="001309A3"/>
    <w:rsid w:val="00136600"/>
    <w:rsid w:val="00137935"/>
    <w:rsid w:val="00185414"/>
    <w:rsid w:val="001A05C4"/>
    <w:rsid w:val="001A689C"/>
    <w:rsid w:val="001B25C1"/>
    <w:rsid w:val="001F2E31"/>
    <w:rsid w:val="001F54D1"/>
    <w:rsid w:val="002079B1"/>
    <w:rsid w:val="00224474"/>
    <w:rsid w:val="00231AEF"/>
    <w:rsid w:val="00240E84"/>
    <w:rsid w:val="0026223E"/>
    <w:rsid w:val="00275385"/>
    <w:rsid w:val="00296D85"/>
    <w:rsid w:val="002A58A4"/>
    <w:rsid w:val="002B34E7"/>
    <w:rsid w:val="002F2F54"/>
    <w:rsid w:val="002F475B"/>
    <w:rsid w:val="0033397B"/>
    <w:rsid w:val="003502F9"/>
    <w:rsid w:val="00361F5A"/>
    <w:rsid w:val="003D224E"/>
    <w:rsid w:val="003D64DD"/>
    <w:rsid w:val="0043128B"/>
    <w:rsid w:val="00431ED2"/>
    <w:rsid w:val="00454A53"/>
    <w:rsid w:val="00471F61"/>
    <w:rsid w:val="004A6B9F"/>
    <w:rsid w:val="004B7411"/>
    <w:rsid w:val="004E7E1C"/>
    <w:rsid w:val="00535191"/>
    <w:rsid w:val="00565A56"/>
    <w:rsid w:val="005A6EA3"/>
    <w:rsid w:val="005F3D45"/>
    <w:rsid w:val="006130ED"/>
    <w:rsid w:val="00615181"/>
    <w:rsid w:val="00657108"/>
    <w:rsid w:val="00693EC1"/>
    <w:rsid w:val="006B0C8F"/>
    <w:rsid w:val="006D1E9E"/>
    <w:rsid w:val="006D712F"/>
    <w:rsid w:val="006F3C4D"/>
    <w:rsid w:val="006F5986"/>
    <w:rsid w:val="00711541"/>
    <w:rsid w:val="00712D5B"/>
    <w:rsid w:val="0072530C"/>
    <w:rsid w:val="00736E62"/>
    <w:rsid w:val="007371C4"/>
    <w:rsid w:val="0074464F"/>
    <w:rsid w:val="00757D64"/>
    <w:rsid w:val="00764593"/>
    <w:rsid w:val="00766161"/>
    <w:rsid w:val="00782997"/>
    <w:rsid w:val="0079214F"/>
    <w:rsid w:val="007B1673"/>
    <w:rsid w:val="007C01AC"/>
    <w:rsid w:val="007C4811"/>
    <w:rsid w:val="007F2949"/>
    <w:rsid w:val="007F7344"/>
    <w:rsid w:val="00801FAF"/>
    <w:rsid w:val="008422B5"/>
    <w:rsid w:val="00856D56"/>
    <w:rsid w:val="008868D6"/>
    <w:rsid w:val="00890B58"/>
    <w:rsid w:val="008A4478"/>
    <w:rsid w:val="008C216F"/>
    <w:rsid w:val="008F1273"/>
    <w:rsid w:val="00901D2C"/>
    <w:rsid w:val="00907C60"/>
    <w:rsid w:val="00920DF0"/>
    <w:rsid w:val="00943A75"/>
    <w:rsid w:val="009512CF"/>
    <w:rsid w:val="00957465"/>
    <w:rsid w:val="009C7548"/>
    <w:rsid w:val="009D29A3"/>
    <w:rsid w:val="009E078E"/>
    <w:rsid w:val="009E507F"/>
    <w:rsid w:val="00A274D7"/>
    <w:rsid w:val="00A4097A"/>
    <w:rsid w:val="00A43352"/>
    <w:rsid w:val="00A44C8C"/>
    <w:rsid w:val="00A766DF"/>
    <w:rsid w:val="00A87E05"/>
    <w:rsid w:val="00A902B9"/>
    <w:rsid w:val="00A94295"/>
    <w:rsid w:val="00AD7074"/>
    <w:rsid w:val="00AE7019"/>
    <w:rsid w:val="00AE7873"/>
    <w:rsid w:val="00B21055"/>
    <w:rsid w:val="00B36B61"/>
    <w:rsid w:val="00B3775B"/>
    <w:rsid w:val="00B420DA"/>
    <w:rsid w:val="00B46AB1"/>
    <w:rsid w:val="00B70472"/>
    <w:rsid w:val="00BB137E"/>
    <w:rsid w:val="00BD58FE"/>
    <w:rsid w:val="00BF339E"/>
    <w:rsid w:val="00C32FFC"/>
    <w:rsid w:val="00C437D5"/>
    <w:rsid w:val="00CA2282"/>
    <w:rsid w:val="00CB258D"/>
    <w:rsid w:val="00CB45A3"/>
    <w:rsid w:val="00CD5EB2"/>
    <w:rsid w:val="00CD60DE"/>
    <w:rsid w:val="00CE53A0"/>
    <w:rsid w:val="00D22039"/>
    <w:rsid w:val="00D43411"/>
    <w:rsid w:val="00D517A4"/>
    <w:rsid w:val="00D557F6"/>
    <w:rsid w:val="00D70BAA"/>
    <w:rsid w:val="00D90BB3"/>
    <w:rsid w:val="00DA01D9"/>
    <w:rsid w:val="00DA0372"/>
    <w:rsid w:val="00DF4865"/>
    <w:rsid w:val="00E21973"/>
    <w:rsid w:val="00E21EAA"/>
    <w:rsid w:val="00E23298"/>
    <w:rsid w:val="00E26A78"/>
    <w:rsid w:val="00E46DE7"/>
    <w:rsid w:val="00E92BF6"/>
    <w:rsid w:val="00EA2088"/>
    <w:rsid w:val="00F47974"/>
    <w:rsid w:val="00F80281"/>
    <w:rsid w:val="00F81EAB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6FB4C"/>
  <w15:chartTrackingRefBased/>
  <w15:docId w15:val="{871134D1-F239-4521-9FB0-66E71BB4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7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78"/>
  </w:style>
  <w:style w:type="paragraph" w:styleId="Footer">
    <w:name w:val="footer"/>
    <w:basedOn w:val="Normal"/>
    <w:link w:val="FooterChar"/>
    <w:uiPriority w:val="99"/>
    <w:unhideWhenUsed/>
    <w:rsid w:val="008A4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78"/>
  </w:style>
  <w:style w:type="character" w:customStyle="1" w:styleId="Heading1Char">
    <w:name w:val="Heading 1 Char"/>
    <w:basedOn w:val="DefaultParagraphFont"/>
    <w:link w:val="Heading1"/>
    <w:uiPriority w:val="9"/>
    <w:rsid w:val="008A4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A44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309A3"/>
    <w:rPr>
      <w:color w:val="808080"/>
    </w:rPr>
  </w:style>
  <w:style w:type="paragraph" w:styleId="NoSpacing">
    <w:name w:val="No Spacing"/>
    <w:uiPriority w:val="1"/>
    <w:qFormat/>
    <w:rsid w:val="00CB45A3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9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C7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aarchives.net/2019/01/visualising-laoco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cantscot.org/product/a-fragmented-masterpiece/%3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enewsletter.org/OEN/issue/ruthwel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CD6D-6EF7-4175-9F12-630CBC5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on specific replicas and replica assemblages</vt:lpstr>
    </vt:vector>
  </TitlesOfParts>
  <Company>University of Stirling</Company>
  <LinksUpToDate>false</LinksUpToDate>
  <CharactersWithSpaces>10729</CharactersWithSpaces>
  <SharedDoc>false</SharedDoc>
  <HyperlinkBase>www.replicas.stir.ac.uk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on specific replicas and replica assemblages</dc:title>
  <dc:subject/>
  <dc:creator>Sally Foster</dc:creator>
  <cp:keywords/>
  <dc:description/>
  <cp:lastModifiedBy>Sally Foster</cp:lastModifiedBy>
  <cp:revision>10</cp:revision>
  <dcterms:created xsi:type="dcterms:W3CDTF">2020-07-13T11:28:00Z</dcterms:created>
  <dcterms:modified xsi:type="dcterms:W3CDTF">2022-11-13T17:44:00Z</dcterms:modified>
</cp:coreProperties>
</file>